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A29B3" w14:textId="77777777" w:rsidR="00AF21D9" w:rsidRDefault="00AF21D9" w:rsidP="00AF21D9">
      <w:pPr>
        <w:ind w:left="708" w:hanging="708"/>
        <w:jc w:val="right"/>
        <w:rPr>
          <w:rFonts w:ascii="Work Sans" w:eastAsia="Times New Roman" w:hAnsi="Work Sans" w:cs="Times New Roman"/>
          <w:sz w:val="18"/>
          <w:szCs w:val="18"/>
          <w:lang w:val="pt-BR" w:eastAsia="es-ES"/>
        </w:rPr>
      </w:pPr>
      <w:r>
        <w:rPr>
          <w:rFonts w:ascii="Work Sans" w:hAnsi="Work Sans" w:cs="Arial"/>
          <w:sz w:val="18"/>
          <w:szCs w:val="18"/>
          <w:lang w:val="pt-BR"/>
        </w:rPr>
        <w:t xml:space="preserve">Código </w:t>
      </w:r>
      <w:proofErr w:type="spellStart"/>
      <w:r>
        <w:rPr>
          <w:rFonts w:ascii="Work Sans" w:hAnsi="Work Sans" w:cs="Arial"/>
          <w:sz w:val="18"/>
          <w:szCs w:val="18"/>
          <w:lang w:val="pt-BR"/>
        </w:rPr>
        <w:t>Dependencia</w:t>
      </w:r>
      <w:proofErr w:type="spellEnd"/>
      <w:r>
        <w:rPr>
          <w:rFonts w:ascii="Work Sans" w:hAnsi="Work Sans" w:cs="Arial"/>
          <w:sz w:val="18"/>
          <w:szCs w:val="18"/>
          <w:lang w:val="pt-BR"/>
        </w:rPr>
        <w:t xml:space="preserve">: </w:t>
      </w:r>
      <w:proofErr w:type="spellStart"/>
      <w:r>
        <w:rPr>
          <w:rFonts w:ascii="Work Sans" w:hAnsi="Work Sans" w:cs="Arial"/>
          <w:sz w:val="18"/>
          <w:szCs w:val="18"/>
          <w:lang w:val="pt-BR"/>
        </w:rPr>
        <w:t>depe_var</w:t>
      </w:r>
      <w:proofErr w:type="spellEnd"/>
      <w:r>
        <w:rPr>
          <w:rFonts w:ascii="Work Sans" w:hAnsi="Work Sans" w:cs="Arial"/>
          <w:sz w:val="18"/>
          <w:szCs w:val="18"/>
          <w:lang w:val="pt-BR"/>
        </w:rPr>
        <w:br/>
      </w:r>
      <w:proofErr w:type="spellStart"/>
      <w:r>
        <w:rPr>
          <w:rFonts w:ascii="Work Sans" w:eastAsia="Times New Roman" w:hAnsi="Work Sans" w:cs="Times New Roman"/>
          <w:sz w:val="18"/>
          <w:szCs w:val="18"/>
          <w:lang w:val="pt-BR" w:eastAsia="es-ES"/>
        </w:rPr>
        <w:t>Acceso</w:t>
      </w:r>
      <w:proofErr w:type="spellEnd"/>
      <w:r>
        <w:rPr>
          <w:rFonts w:ascii="Work Sans" w:eastAsia="Times New Roman" w:hAnsi="Work Sans" w:cs="Times New Roman"/>
          <w:sz w:val="18"/>
          <w:szCs w:val="18"/>
          <w:lang w:val="pt-BR" w:eastAsia="es-ES"/>
        </w:rPr>
        <w:t>: Reservado (</w:t>
      </w:r>
      <w:proofErr w:type="spellStart"/>
      <w:r>
        <w:rPr>
          <w:rFonts w:ascii="Work Sans" w:eastAsia="Times New Roman" w:hAnsi="Work Sans" w:cs="Times New Roman"/>
          <w:sz w:val="18"/>
          <w:szCs w:val="18"/>
          <w:lang w:val="pt-BR" w:eastAsia="es-ES"/>
        </w:rPr>
        <w:t>ac_res</w:t>
      </w:r>
      <w:proofErr w:type="spellEnd"/>
      <w:r>
        <w:rPr>
          <w:rFonts w:ascii="Work Sans" w:eastAsia="Times New Roman" w:hAnsi="Work Sans" w:cs="Times New Roman"/>
          <w:sz w:val="18"/>
          <w:szCs w:val="18"/>
          <w:lang w:val="pt-BR" w:eastAsia="es-ES"/>
        </w:rPr>
        <w:t>), Público (</w:t>
      </w:r>
      <w:proofErr w:type="spellStart"/>
      <w:r>
        <w:rPr>
          <w:rFonts w:ascii="Work Sans" w:eastAsia="Times New Roman" w:hAnsi="Work Sans" w:cs="Times New Roman"/>
          <w:sz w:val="18"/>
          <w:szCs w:val="18"/>
          <w:lang w:val="pt-BR" w:eastAsia="es-ES"/>
        </w:rPr>
        <w:t>ac_pub</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Clasificado</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ac_cla</w:t>
      </w:r>
      <w:proofErr w:type="spellEnd"/>
      <w:r>
        <w:rPr>
          <w:rFonts w:ascii="Work Sans" w:eastAsia="Times New Roman" w:hAnsi="Work Sans" w:cs="Times New Roman"/>
          <w:sz w:val="18"/>
          <w:szCs w:val="18"/>
          <w:lang w:val="pt-BR" w:eastAsia="es-ES"/>
        </w:rPr>
        <w:t>).</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sz w:val="24"/>
          <w:szCs w:val="24"/>
        </w:rPr>
      </w:pPr>
      <w:r>
        <w:rPr>
          <w:rFonts w:ascii="Work Sans" w:hAnsi="Work Sans" w:cs="Arial"/>
          <w:b/>
          <w:sz w:val="24"/>
          <w:szCs w:val="24"/>
        </w:rPr>
        <w:t>PARA:</w:t>
      </w:r>
      <w:r>
        <w:rPr>
          <w:rFonts w:ascii="Work Sans" w:hAnsi="Work Sans" w:cs="Arial"/>
          <w:b/>
          <w:sz w:val="24"/>
          <w:szCs w:val="24"/>
        </w:rPr>
        <w:tab/>
      </w:r>
      <w:r>
        <w:rPr>
          <w:rFonts w:ascii="Work Sans" w:hAnsi="Work Sans" w:cs="Arial"/>
          <w:sz w:val="24"/>
          <w:szCs w:val="24"/>
        </w:rPr>
        <w:t>nombredestinatario</w:t>
      </w:r>
      <w:r>
        <w:rPr>
          <w:rFonts w:ascii="Work Sans" w:hAnsi="Work Sans" w:cs="Arial"/>
          <w:sz w:val="24"/>
          <w:szCs w:val="24"/>
        </w:rPr>
        <w:br/>
        <w:t>dptodestinatario</w:t>
      </w:r>
      <w:r>
        <w:rPr>
          <w:rFonts w:ascii="Work Sans" w:hAnsi="Work Sans" w:cs="Arial"/>
          <w:sz w:val="24"/>
          <w:szCs w:val="24"/>
        </w:rPr>
        <w:tab/>
      </w:r>
      <w:r>
        <w:rPr>
          <w:rFonts w:ascii="Work Sans" w:hAnsi="Work Sans" w:cs="Arial"/>
          <w:sz w:val="24"/>
          <w:szCs w:val="24"/>
        </w:rPr>
        <w:tab/>
      </w:r>
    </w:p>
    <w:p w14:paraId="722F296C" w14:textId="77777777" w:rsidR="00AF21D9" w:rsidRDefault="00AF21D9" w:rsidP="00AF21D9">
      <w:pPr>
        <w:spacing w:line="360" w:lineRule="auto"/>
        <w:ind w:right="51"/>
        <w:contextualSpacing/>
        <w:rPr>
          <w:rFonts w:ascii="Work Sans" w:hAnsi="Work Sans" w:cs="Arial"/>
          <w:sz w:val="24"/>
          <w:szCs w:val="24"/>
        </w:rPr>
      </w:pPr>
      <w:r>
        <w:rPr>
          <w:rFonts w:ascii="Work Sans" w:hAnsi="Work Sans" w:cs="Arial"/>
          <w:b/>
          <w:bCs/>
          <w:sz w:val="24"/>
          <w:szCs w:val="24"/>
        </w:rPr>
        <w:t>DE:</w:t>
      </w:r>
      <w:r>
        <w:rPr>
          <w:rFonts w:ascii="Work Sans" w:hAnsi="Work Sans" w:cs="Arial"/>
          <w:sz w:val="24"/>
          <w:szCs w:val="24"/>
        </w:rPr>
        <w:tab/>
      </w:r>
      <w:r>
        <w:rPr>
          <w:rFonts w:ascii="Work Sans" w:hAnsi="Work Sans" w:cs="Arial"/>
          <w:sz w:val="24"/>
          <w:szCs w:val="24"/>
        </w:rPr>
        <w:tab/>
        <w:t>dptoremitente</w:t>
      </w:r>
    </w:p>
    <w:p w14:paraId="1654F87E" w14:textId="77777777" w:rsidR="00AF21D9" w:rsidRDefault="00AF21D9" w:rsidP="00AF21D9">
      <w:pPr>
        <w:spacing w:line="240" w:lineRule="auto"/>
        <w:ind w:right="51"/>
        <w:contextualSpacing/>
        <w:rPr>
          <w:rFonts w:ascii="Work Sans" w:hAnsi="Work Sans" w:cs="Arial"/>
          <w:sz w:val="24"/>
          <w:szCs w:val="24"/>
        </w:rPr>
      </w:pPr>
    </w:p>
    <w:p w14:paraId="54CDAEBF" w14:textId="77777777" w:rsidR="00AF21D9" w:rsidRPr="003E4002" w:rsidRDefault="00AF21D9" w:rsidP="00AF21D9">
      <w:pPr>
        <w:spacing w:line="240" w:lineRule="auto"/>
        <w:ind w:right="51"/>
        <w:contextualSpacing/>
        <w:rPr>
          <w:rFonts w:ascii="Work Sans" w:eastAsia="Work Sans" w:hAnsi="Work Sans" w:cs="Work Sans"/>
        </w:rPr>
      </w:pPr>
      <w:r>
        <w:rPr>
          <w:rFonts w:ascii="Work Sans" w:hAnsi="Work Sans" w:cs="Arial"/>
          <w:b/>
          <w:sz w:val="24"/>
          <w:szCs w:val="24"/>
        </w:rPr>
        <w:t>ASUNTO:</w:t>
      </w:r>
      <w:r>
        <w:rPr>
          <w:rFonts w:ascii="Work Sans" w:hAnsi="Work Sans" w:cs="Arial"/>
          <w:sz w:val="24"/>
          <w:szCs w:val="24"/>
        </w:rPr>
        <w:tab/>
        <w:t>r_asunto</w:t>
      </w:r>
    </w:p>
    <w:p w14:paraId="71B5BF55" w14:textId="77777777" w:rsidR="00AF21D9" w:rsidRPr="003E4002" w:rsidRDefault="00AF21D9" w:rsidP="00AF21D9">
      <w:pPr>
        <w:spacing w:line="240" w:lineRule="auto"/>
        <w:ind w:right="51"/>
        <w:contextualSpacing/>
        <w:jc w:val="both"/>
        <w:rPr>
          <w:rFonts w:ascii="Work Sans" w:eastAsia="Work Sans" w:hAnsi="Work Sans" w:cs="Work Sans"/>
        </w:rPr>
      </w:pPr>
    </w:p>
    <w:p w14:paraId="312F519E"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Desde el Grupo de Gestión Contractual nos p</w:t>
      </w:r>
      <w:bookmarkStart w:id="0" w:name="_GoBack"/>
      <w:bookmarkEnd w:id="0"/>
      <w:r w:rsidRPr="002972F1">
        <w:rPr>
          <w:rFonts w:ascii="Work Sans" w:eastAsia="Work Sans" w:hAnsi="Work Sans" w:cs="Work Sans"/>
        </w:rPr>
        <w:t>ermitimos solicitar, de manera comedida, la expedición de un acto administrativo de saneamiento, con fundamento en las siguientes consideraciones.</w:t>
      </w:r>
    </w:p>
    <w:p w14:paraId="5CC93751" w14:textId="77777777" w:rsidR="003E4002" w:rsidRPr="003E4002" w:rsidRDefault="003E4002" w:rsidP="003E4002">
      <w:pPr>
        <w:pBdr>
          <w:top w:val="nil"/>
          <w:left w:val="nil"/>
          <w:bottom w:val="nil"/>
          <w:right w:val="nil"/>
          <w:between w:val="nil"/>
        </w:pBdr>
        <w:spacing w:before="120" w:after="120" w:line="480" w:lineRule="auto"/>
        <w:jc w:val="both"/>
        <w:rPr>
          <w:rFonts w:ascii="Work Sans" w:eastAsia="Work Sans" w:hAnsi="Work Sans" w:cs="Work Sans"/>
        </w:rPr>
      </w:pPr>
      <w:r w:rsidRPr="003E4002">
        <w:rPr>
          <w:rFonts w:ascii="Work Sans" w:eastAsia="Work Sans" w:hAnsi="Work Sans" w:cs="Work Sans"/>
        </w:rPr>
        <w:t>En virtud de lo dispuesto en el artículo 49 de la Ley 80 de 1993, el cual establece que: “Del saneamiento de los vicios de procedimiento o de forma. Ante la ocurrencia de vicios que no constituyan causales de nulidad y cuando las necesidades del servicio lo exijan o las reglas de la buena administración lo aconsejen, el jefe o representante legal de la entidad, en acto motivado, podrá sanear el correspondiente vicio”, y considerando la necesidad de corregir un vicio de naturaleza procedimental identificado en el trámite presupuestal asociado a la cesión del contrato de prestación de servicios No. GGC-1435-2025, se expone la motivación que sustenta la procedencia del saneamiento administrativo.</w:t>
      </w:r>
    </w:p>
    <w:p w14:paraId="1C18FA4E" w14:textId="77777777" w:rsidR="003E4002" w:rsidRPr="003E4002" w:rsidRDefault="003E4002" w:rsidP="003E4002">
      <w:pPr>
        <w:spacing w:before="120" w:after="120" w:line="480" w:lineRule="auto"/>
        <w:jc w:val="both"/>
        <w:rPr>
          <w:rFonts w:ascii="Work Sans" w:eastAsia="Work Sans" w:hAnsi="Work Sans" w:cs="Work Sans"/>
        </w:rPr>
      </w:pPr>
      <w:r w:rsidRPr="003E4002">
        <w:rPr>
          <w:rFonts w:ascii="Work Sans" w:eastAsia="Work Sans" w:hAnsi="Work Sans" w:cs="Work Sans"/>
        </w:rPr>
        <w:t xml:space="preserve">En la revisión del flujo de la cesión en la plataforma NEÓN, se evidenció una afectación involuntaria del sistema, la cual impidió la remisión automática de la solicitud al Grupo de Presupuesto. Esta situación </w:t>
      </w:r>
      <w:r w:rsidRPr="003E4002">
        <w:rPr>
          <w:rFonts w:ascii="Work Sans" w:eastAsia="Work Sans" w:hAnsi="Work Sans" w:cs="Work Sans"/>
        </w:rPr>
        <w:lastRenderedPageBreak/>
        <w:t>alteró el curso regular del trámite, sin comprometer la existencia ni la validez del contrato, pero ocasionando la expedición tardía del Registro Presupuestal (RP).</w:t>
      </w:r>
    </w:p>
    <w:p w14:paraId="05474327" w14:textId="77777777" w:rsidR="003E4002" w:rsidRPr="003E4002" w:rsidRDefault="003E4002" w:rsidP="003E4002">
      <w:pPr>
        <w:spacing w:before="120" w:after="120" w:line="480" w:lineRule="auto"/>
        <w:jc w:val="both"/>
        <w:rPr>
          <w:rFonts w:ascii="Work Sans" w:eastAsia="Work Sans" w:hAnsi="Work Sans" w:cs="Work Sans"/>
        </w:rPr>
      </w:pPr>
      <w:r w:rsidRPr="003E4002">
        <w:rPr>
          <w:rFonts w:ascii="Work Sans" w:eastAsia="Work Sans" w:hAnsi="Work Sans" w:cs="Work Sans"/>
        </w:rPr>
        <w:t>Una vez identificada la inconsistencia, el</w:t>
      </w:r>
      <w:r w:rsidRPr="002972F1">
        <w:rPr>
          <w:rFonts w:ascii="Work Sans" w:eastAsia="Work Sans" w:hAnsi="Work Sans" w:cs="Work Sans"/>
        </w:rPr>
        <w:t> </w:t>
      </w:r>
      <w:r w:rsidRPr="003E4002">
        <w:rPr>
          <w:rFonts w:ascii="Work Sans" w:eastAsia="Work Sans" w:hAnsi="Work Sans" w:cs="Work Sans"/>
        </w:rPr>
        <w:t>Registro Presupuestal (RP)</w:t>
      </w:r>
      <w:r w:rsidRPr="002972F1">
        <w:rPr>
          <w:rFonts w:ascii="Work Sans" w:eastAsia="Work Sans" w:hAnsi="Work Sans" w:cs="Work Sans"/>
        </w:rPr>
        <w:t> </w:t>
      </w:r>
      <w:r w:rsidRPr="003E4002">
        <w:rPr>
          <w:rFonts w:ascii="Work Sans" w:eastAsia="Work Sans" w:hAnsi="Work Sans" w:cs="Work Sans"/>
        </w:rPr>
        <w:t>fue expedido el 21 de noviembre de la anualidad, aun cuando la contratista</w:t>
      </w:r>
      <w:r w:rsidRPr="002972F1">
        <w:rPr>
          <w:rFonts w:ascii="Work Sans" w:eastAsia="Work Sans" w:hAnsi="Work Sans" w:cs="Work Sans"/>
        </w:rPr>
        <w:t> </w:t>
      </w:r>
      <w:r w:rsidRPr="003E4002">
        <w:rPr>
          <w:rFonts w:ascii="Work Sans" w:eastAsia="Work Sans" w:hAnsi="Work Sans" w:cs="Work Sans"/>
        </w:rPr>
        <w:t>YURI ANDREA ALARCÓN RODRÍGUEZ</w:t>
      </w:r>
      <w:r w:rsidRPr="002972F1">
        <w:rPr>
          <w:rFonts w:ascii="Work Sans" w:eastAsia="Work Sans" w:hAnsi="Work Sans" w:cs="Work Sans"/>
        </w:rPr>
        <w:t> </w:t>
      </w:r>
      <w:r w:rsidRPr="003E4002">
        <w:rPr>
          <w:rFonts w:ascii="Work Sans" w:eastAsia="Work Sans" w:hAnsi="Work Sans" w:cs="Work Sans"/>
        </w:rPr>
        <w:t>venía ejecutando sus actividades desde el</w:t>
      </w:r>
      <w:r w:rsidRPr="002972F1">
        <w:rPr>
          <w:rFonts w:ascii="Work Sans" w:eastAsia="Work Sans" w:hAnsi="Work Sans" w:cs="Work Sans"/>
        </w:rPr>
        <w:t> </w:t>
      </w:r>
      <w:r w:rsidRPr="003E4002">
        <w:rPr>
          <w:rFonts w:ascii="Work Sans" w:eastAsia="Work Sans" w:hAnsi="Work Sans" w:cs="Work Sans"/>
        </w:rPr>
        <w:t>16 de octubre de 2025, fecha para la cual ya contaba con la respectiva cobertura de ARL.</w:t>
      </w:r>
    </w:p>
    <w:p w14:paraId="19E7E738" w14:textId="77777777" w:rsidR="003E4002" w:rsidRPr="003E4002" w:rsidRDefault="003E4002" w:rsidP="003E4002">
      <w:pPr>
        <w:spacing w:before="120" w:after="120" w:line="480" w:lineRule="auto"/>
        <w:jc w:val="both"/>
        <w:rPr>
          <w:rFonts w:ascii="Work Sans" w:eastAsia="Work Sans" w:hAnsi="Work Sans" w:cs="Work Sans"/>
        </w:rPr>
      </w:pPr>
    </w:p>
    <w:p w14:paraId="709DFDB9" w14:textId="77777777" w:rsidR="003E4002" w:rsidRPr="003E4002" w:rsidRDefault="003E4002" w:rsidP="003E4002">
      <w:pPr>
        <w:numPr>
          <w:ilvl w:val="0"/>
          <w:numId w:val="1"/>
        </w:numPr>
        <w:pBdr>
          <w:top w:val="nil"/>
          <w:left w:val="nil"/>
          <w:bottom w:val="nil"/>
          <w:right w:val="nil"/>
          <w:between w:val="nil"/>
        </w:pBdr>
        <w:shd w:val="clear" w:color="auto" w:fill="FFFFFF"/>
        <w:suppressAutoHyphens w:val="0"/>
        <w:spacing w:before="120" w:after="120" w:line="480" w:lineRule="auto"/>
        <w:jc w:val="center"/>
        <w:rPr>
          <w:rFonts w:ascii="Work Sans" w:eastAsia="Work Sans" w:hAnsi="Work Sans" w:cs="Work Sans"/>
          <w:b/>
        </w:rPr>
      </w:pPr>
      <w:r w:rsidRPr="003E4002">
        <w:rPr>
          <w:rFonts w:ascii="Work Sans" w:eastAsia="Work Sans" w:hAnsi="Work Sans" w:cs="Work Sans"/>
          <w:b/>
        </w:rPr>
        <w:t>COMPETENCIA</w:t>
      </w:r>
    </w:p>
    <w:p w14:paraId="781B8CC1" w14:textId="77777777" w:rsidR="003E4002" w:rsidRPr="002972F1" w:rsidRDefault="003E4002" w:rsidP="003E4002">
      <w:pPr>
        <w:shd w:val="clear" w:color="auto" w:fill="FFFFFF"/>
        <w:spacing w:before="120" w:after="120" w:line="480" w:lineRule="auto"/>
        <w:ind w:right="51"/>
        <w:jc w:val="both"/>
        <w:rPr>
          <w:rFonts w:ascii="Work Sans" w:eastAsia="Work Sans" w:hAnsi="Work Sans" w:cs="Work Sans"/>
        </w:rPr>
      </w:pPr>
    </w:p>
    <w:p w14:paraId="53F3AD57" w14:textId="77777777" w:rsidR="003E4002" w:rsidRPr="002972F1" w:rsidRDefault="003E4002" w:rsidP="003E4002">
      <w:pPr>
        <w:shd w:val="clear" w:color="auto" w:fill="FFFFFF"/>
        <w:spacing w:before="120" w:after="120" w:line="480" w:lineRule="auto"/>
        <w:jc w:val="both"/>
        <w:rPr>
          <w:rFonts w:ascii="Work Sans" w:eastAsia="Work Sans" w:hAnsi="Work Sans" w:cs="Work Sans"/>
        </w:rPr>
      </w:pPr>
      <w:r w:rsidRPr="002972F1">
        <w:rPr>
          <w:rFonts w:ascii="Work Sans" w:eastAsia="Work Sans" w:hAnsi="Work Sans" w:cs="Work Sans"/>
        </w:rPr>
        <w:t>De conformidad con el Manual de Contratación del Ministerio de Minas y Energía, el Grupo de Gestión Contractual en el numeral 1.2.3 Funciones y responsabilidades del Grupo de Gestión Contractual establece que:</w:t>
      </w:r>
    </w:p>
    <w:p w14:paraId="464DCBBB" w14:textId="77777777" w:rsidR="003E4002" w:rsidRDefault="003E4002" w:rsidP="003E4002">
      <w:pPr>
        <w:shd w:val="clear" w:color="auto" w:fill="FFFFFF"/>
        <w:spacing w:before="120" w:after="120" w:line="480" w:lineRule="auto"/>
        <w:ind w:left="567" w:right="332"/>
        <w:jc w:val="both"/>
        <w:rPr>
          <w:rFonts w:ascii="Work Sans" w:eastAsia="Work Sans" w:hAnsi="Work Sans" w:cs="Work Sans"/>
        </w:rPr>
      </w:pPr>
    </w:p>
    <w:p w14:paraId="318D98B4" w14:textId="77777777" w:rsidR="003E4002" w:rsidRPr="0029379B" w:rsidRDefault="003E4002" w:rsidP="003E4002">
      <w:pPr>
        <w:shd w:val="clear" w:color="auto" w:fill="FFFFFF"/>
        <w:spacing w:before="120" w:after="120" w:line="480" w:lineRule="auto"/>
        <w:ind w:left="567" w:right="332"/>
        <w:jc w:val="both"/>
        <w:rPr>
          <w:rFonts w:ascii="Work Sans" w:eastAsia="Work Sans" w:hAnsi="Work Sans" w:cs="Work Sans"/>
        </w:rPr>
      </w:pPr>
      <w:r w:rsidRPr="0029379B">
        <w:rPr>
          <w:rFonts w:ascii="Work Sans" w:eastAsia="Work Sans" w:hAnsi="Work Sans" w:cs="Work Sans"/>
        </w:rPr>
        <w:t>“Una vez aprobado el contrato por las partes en la plataforma SECOP II, o firmado físicamente, según el caso, deberá solicitar el registro presupuestal a través del sistema de gestión de recursos físicos y contratación o el mecanismo establecido para tal fin.”</w:t>
      </w:r>
    </w:p>
    <w:p w14:paraId="20280E14" w14:textId="77777777" w:rsidR="003E4002" w:rsidRPr="002972F1" w:rsidRDefault="003E4002" w:rsidP="003E4002">
      <w:pPr>
        <w:shd w:val="clear" w:color="auto" w:fill="FFFFFF"/>
        <w:spacing w:before="120" w:after="120" w:line="480" w:lineRule="auto"/>
        <w:jc w:val="both"/>
        <w:rPr>
          <w:rFonts w:ascii="Work Sans" w:eastAsia="Work Sans" w:hAnsi="Work Sans" w:cs="Work Sans"/>
        </w:rPr>
      </w:pPr>
      <w:r w:rsidRPr="002972F1">
        <w:rPr>
          <w:rFonts w:ascii="Work Sans" w:eastAsia="Work Sans" w:hAnsi="Work Sans" w:cs="Work Sans"/>
        </w:rPr>
        <w:t>En ese sentido, como el error involuntario el </w:t>
      </w:r>
      <w:r w:rsidRPr="003E4002">
        <w:rPr>
          <w:rFonts w:ascii="Work Sans" w:eastAsia="Work Sans" w:hAnsi="Work Sans" w:cs="Work Sans"/>
        </w:rPr>
        <w:t>Grupo de Gestión Contractual</w:t>
      </w:r>
      <w:r w:rsidRPr="002972F1">
        <w:rPr>
          <w:rFonts w:ascii="Work Sans" w:eastAsia="Work Sans" w:hAnsi="Work Sans" w:cs="Work Sans"/>
        </w:rPr>
        <w:t>, en ejercicio de las funciones contempladas en el Manual de Contratación interno con el fin de sanear el vicio, </w:t>
      </w:r>
      <w:r w:rsidRPr="003E4002">
        <w:rPr>
          <w:rFonts w:ascii="Work Sans" w:eastAsia="Work Sans" w:hAnsi="Work Sans" w:cs="Work Sans"/>
        </w:rPr>
        <w:t xml:space="preserve">es competente para </w:t>
      </w:r>
      <w:r w:rsidRPr="003E4002">
        <w:rPr>
          <w:rFonts w:ascii="Work Sans" w:eastAsia="Work Sans" w:hAnsi="Work Sans" w:cs="Work Sans"/>
        </w:rPr>
        <w:lastRenderedPageBreak/>
        <w:t>elevar la presente solicitud</w:t>
      </w:r>
      <w:r w:rsidRPr="002972F1">
        <w:rPr>
          <w:rFonts w:ascii="Work Sans" w:eastAsia="Work Sans" w:hAnsi="Work Sans" w:cs="Work Sans"/>
        </w:rPr>
        <w:t>, con el ánimo de garantizar el pago de las actividades ejecutadas por la contratista </w:t>
      </w:r>
      <w:r w:rsidRPr="003E4002">
        <w:rPr>
          <w:rFonts w:ascii="Work Sans" w:eastAsia="Work Sans" w:hAnsi="Work Sans" w:cs="Work Sans"/>
        </w:rPr>
        <w:t>YURI ANDREA ALARCÓN RODRÍGUEZ</w:t>
      </w:r>
      <w:r w:rsidRPr="002972F1">
        <w:rPr>
          <w:rFonts w:ascii="Work Sans" w:eastAsia="Work Sans" w:hAnsi="Work Sans" w:cs="Work Sans"/>
        </w:rPr>
        <w:t> desde el </w:t>
      </w:r>
      <w:r w:rsidRPr="003E4002">
        <w:rPr>
          <w:rFonts w:ascii="Work Sans" w:eastAsia="Work Sans" w:hAnsi="Work Sans" w:cs="Work Sans"/>
        </w:rPr>
        <w:t>16 de octubre de 2025</w:t>
      </w:r>
      <w:r w:rsidRPr="002972F1">
        <w:rPr>
          <w:rFonts w:ascii="Work Sans" w:eastAsia="Work Sans" w:hAnsi="Work Sans" w:cs="Work Sans"/>
        </w:rPr>
        <w:t>, a través de la expedición del correspondiente </w:t>
      </w:r>
      <w:r w:rsidRPr="003E4002">
        <w:rPr>
          <w:rFonts w:ascii="Work Sans" w:eastAsia="Work Sans" w:hAnsi="Work Sans" w:cs="Work Sans"/>
        </w:rPr>
        <w:t>acto administrativo de saneamiento</w:t>
      </w:r>
      <w:r w:rsidRPr="002972F1">
        <w:rPr>
          <w:rFonts w:ascii="Work Sans" w:eastAsia="Work Sans" w:hAnsi="Work Sans" w:cs="Work Sans"/>
        </w:rPr>
        <w:t>.</w:t>
      </w:r>
    </w:p>
    <w:p w14:paraId="3BB0E331" w14:textId="77777777" w:rsidR="003E4002" w:rsidRPr="003E4002" w:rsidRDefault="003E4002" w:rsidP="003E4002">
      <w:pPr>
        <w:numPr>
          <w:ilvl w:val="0"/>
          <w:numId w:val="1"/>
        </w:numPr>
        <w:pBdr>
          <w:top w:val="nil"/>
          <w:left w:val="nil"/>
          <w:bottom w:val="nil"/>
          <w:right w:val="nil"/>
          <w:between w:val="nil"/>
        </w:pBdr>
        <w:shd w:val="clear" w:color="auto" w:fill="FFFFFF"/>
        <w:suppressAutoHyphens w:val="0"/>
        <w:spacing w:before="120" w:after="120" w:line="480" w:lineRule="auto"/>
        <w:ind w:right="51"/>
        <w:jc w:val="center"/>
        <w:rPr>
          <w:rFonts w:ascii="Work Sans" w:eastAsia="Work Sans" w:hAnsi="Work Sans" w:cs="Work Sans"/>
          <w:b/>
        </w:rPr>
      </w:pPr>
      <w:r w:rsidRPr="003E4002">
        <w:rPr>
          <w:rFonts w:ascii="Work Sans" w:eastAsia="Work Sans" w:hAnsi="Work Sans" w:cs="Work Sans"/>
          <w:b/>
        </w:rPr>
        <w:t>HECHOS</w:t>
      </w:r>
    </w:p>
    <w:p w14:paraId="0C08A50C" w14:textId="77777777" w:rsidR="003E4002" w:rsidRPr="002972F1" w:rsidRDefault="003E4002" w:rsidP="003E4002">
      <w:pPr>
        <w:pBdr>
          <w:top w:val="nil"/>
          <w:left w:val="nil"/>
          <w:bottom w:val="nil"/>
          <w:right w:val="nil"/>
          <w:between w:val="nil"/>
        </w:pBdr>
        <w:shd w:val="clear" w:color="auto" w:fill="FFFFFF"/>
        <w:spacing w:before="120" w:after="120" w:line="480" w:lineRule="auto"/>
        <w:ind w:left="720"/>
        <w:rPr>
          <w:rFonts w:ascii="Work Sans" w:eastAsia="Work Sans" w:hAnsi="Work Sans" w:cs="Work Sans"/>
        </w:rPr>
      </w:pPr>
    </w:p>
    <w:p w14:paraId="42B07375"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El día 19 de junio de 2025 se suscribió el contrato de prestación de servicios profesionales No. GGC-1435-2025, cuyo objeto es: “Apoyar la elaboración de estudios de proyección de oferta y demanda en la cadena de valor de hidrocarburos”. Como contratista fue vinculada la señora ALEJANDRA VALENTINA ESTEFANÍA CABALLERO ORTEGA, contando para ello con el Certificado de Disponibilidad Presupuestal (CDP) No. 200825, cuyo valor a comprometer ascendía a TREINTA Y DOS MILLONES QUINIENTOS MIL PESOS ($32.500.000 M/CTE), por un plazo de seis (6) meses y quince (15) días, sin exceder el 31 de diciembre de 2025.</w:t>
      </w:r>
    </w:p>
    <w:p w14:paraId="064A2EE4"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Una vez expedido el Registro Presupuestal (RP) No. 352725 del contrato No. GGC-1435-2025, la destinación presupuestal quedaba atribuida de manera exclusiva al mismo.</w:t>
      </w:r>
    </w:p>
    <w:p w14:paraId="66F59D12"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Tras solicitud elevada por la contratista ALEJANDRA VALENTINA ESTEFANÍA CABALLERO ORTEGA el 10 de octubre de 2025, se inició el trámite de cesión en la plataforma NEÓN, el cual actualmente comprende quince (15) pasos, siendo especialmente relevante el paso 541 – Elaboración de solicitud de cesión, en el que el área determina la necesidad de expedición del Registro Presupuestal.</w:t>
      </w:r>
    </w:p>
    <w:p w14:paraId="779796E0"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lastRenderedPageBreak/>
        <w:t>Mediante reparto, el trámite fue asignado a la profesional Michel Vanessa Roncancio Quiroga, abogada contratista del Grupo de Gestión Contractual, y por parte del área de Hidrocarburos la abogada Sonia Paola Novoa Herrera, quien actuó como enlace entre las dos dependencias.</w:t>
      </w:r>
    </w:p>
    <w:p w14:paraId="0D83F954"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Evaluado el perfil y atendidas las observaciones del Grupo de Gestión Contractual, se proyectó el acta de cesión y se publicaron en SECOP II los documentos correspondientes, quedando como cesionaria la señora YURI ANDREA ALARCÓN RODRÍGUEZ a partir del 14 de octubre de 2025.</w:t>
      </w:r>
    </w:p>
    <w:p w14:paraId="1B00B900"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ind w:left="714" w:hanging="357"/>
        <w:jc w:val="both"/>
        <w:rPr>
          <w:rFonts w:ascii="Work Sans" w:eastAsia="Work Sans" w:hAnsi="Work Sans" w:cs="Work Sans"/>
        </w:rPr>
      </w:pPr>
      <w:r w:rsidRPr="003E4002">
        <w:rPr>
          <w:rFonts w:ascii="Work Sans" w:eastAsia="Work Sans" w:hAnsi="Work Sans" w:cs="Work Sans"/>
        </w:rPr>
        <w:t>La cesión fue publicada en SECOP II el 14 de octubre de 2025, formalizando el cambio de contratista sin afectar la validez del contrato ni modificar sus condiciones esenciales.</w:t>
      </w:r>
    </w:p>
    <w:p w14:paraId="05C5F24C"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Tras la publicación en SECOP II, se cumplió el paso correspondiente por parte del Grupo de Gestión Contractual (paso 534 – Publicación acta SECOP), lo cual permite la remisión automática del trámite al Grupo de Presupuesto, dependiendo de la configuración previa del paso 541 – Elaboración de solicitud de cesión. Si bien la solicitud del RP corresponde al Grupo de Gestión Contractual en la etapa contractual, la determinación inicial en el paso 541 constituye una responsabilidad del área.</w:t>
      </w:r>
    </w:p>
    <w:p w14:paraId="15ECF10E"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 xml:space="preserve">Dada la configuración en el paso 541 – Elaboración de solicitud de cesión y habiéndose cumplido el paso 534 – Publicación del acta en el SECOP, no se efectuó la remisión automática al Grupo de Gestión Financiera, para la expedición del Registro Presupuestal (RP) que correspondía en su momento a la cesión del contrato. </w:t>
      </w:r>
    </w:p>
    <w:p w14:paraId="3DE85657"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lastRenderedPageBreak/>
        <w:t>El día 16 de octubre de 2025 se obtuvo la cobertura de ARL a nombre de la cesionaria YURI ANDREA ALARCÓN RODRÍGUEZ, momento a partir del cual la contratista inició la ejecución de las actividades contractuales a su cargo.</w:t>
      </w:r>
    </w:p>
    <w:p w14:paraId="1545208C"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El área de Hidrocarburos detectó el error involuntario en la configuración realizada en el paso 541 y lo puso en conocimiento del Grupo de Gestión Contractual, con el fin de encontrar una alternativa para la debida emisión del RP.</w:t>
      </w:r>
    </w:p>
    <w:p w14:paraId="17FE65A4"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Identificada la afectación en los flujos, se solicitó el RP acudiendo a Megasoft para habilitar nuevamente el paso correspondiente. En un esfuerzo conjunto entre la Dirección de Hidrocarburos y el Grupo de Gestión Contractual, se evidenció que, debido a dicho error involuntario en la plataforma NEÓN, el sistema no remitió automáticamente la solicitud al Grupo de Presupuesto, lo que alteró el flujo regular del trámite. Como consecuencia, el proceso omitió los pasos 18, 27, 22, 32, 35 y 971 del flujo vigente y avanzó directamente al paso 545 – Terminación del acta de cesión, asignado al supervisor Julián Flórez Quiroga, lo cual dio lugar a la expedición tardía del RP.</w:t>
      </w:r>
    </w:p>
    <w:p w14:paraId="158E02B2"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Una vez expedido, el Registro Presupuestal (RP) No. 720325 fue generado con efectos futuros, lo cual dejó sin respaldo presupuestal los días en los que YURI ANDREA ALARCÓN RODRÍGUEZ ya había ejecutado actividades propias del contrato, es decir desde el 16 de octubre de 2025.</w:t>
      </w:r>
    </w:p>
    <w:p w14:paraId="040A3066"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 xml:space="preserve">En consecuencia, resulta necesario adoptar las medidas pertinentes para sanear el error involuntario, teniendo en cuenta que la contratista no puede verse afectada por una expedición </w:t>
      </w:r>
      <w:r w:rsidRPr="003E4002">
        <w:rPr>
          <w:rFonts w:ascii="Work Sans" w:eastAsia="Work Sans" w:hAnsi="Work Sans" w:cs="Work Sans"/>
        </w:rPr>
        <w:lastRenderedPageBreak/>
        <w:t>tardía del RP, sin incluir la totalidad del tiempo durante el cual la profesional ejecutó de manera efectiva sus actividades contractuales.</w:t>
      </w:r>
    </w:p>
    <w:p w14:paraId="15EF6258" w14:textId="77777777" w:rsidR="003E4002" w:rsidRPr="003E4002" w:rsidRDefault="003E4002" w:rsidP="003E4002">
      <w:pPr>
        <w:numPr>
          <w:ilvl w:val="0"/>
          <w:numId w:val="2"/>
        </w:numPr>
        <w:pBdr>
          <w:top w:val="nil"/>
          <w:left w:val="nil"/>
          <w:bottom w:val="nil"/>
          <w:right w:val="nil"/>
          <w:between w:val="nil"/>
        </w:pBdr>
        <w:suppressAutoHyphens w:val="0"/>
        <w:spacing w:before="120" w:after="120" w:line="480" w:lineRule="auto"/>
        <w:jc w:val="both"/>
        <w:rPr>
          <w:rFonts w:ascii="Work Sans" w:eastAsia="Work Sans" w:hAnsi="Work Sans" w:cs="Work Sans"/>
        </w:rPr>
      </w:pPr>
      <w:r w:rsidRPr="003E4002">
        <w:rPr>
          <w:rFonts w:ascii="Work Sans" w:eastAsia="Work Sans" w:hAnsi="Work Sans" w:cs="Work Sans"/>
        </w:rPr>
        <w:t>En atención a lo expuesto, y considerando que el vicio identificado es de naturaleza exclusivamente procedimental, se hace necesario acudir a la figura de saneamiento prevista en el artículo 49 de la Ley 80 de 1993, con el fin de reconducir el trámite al flujo regular y garantizar la continuidad y validez de la gestión contractual.</w:t>
      </w:r>
    </w:p>
    <w:p w14:paraId="1B9C80AB" w14:textId="77777777" w:rsidR="003E4002" w:rsidRPr="002972F1" w:rsidRDefault="003E4002" w:rsidP="003E4002">
      <w:pPr>
        <w:spacing w:line="480" w:lineRule="auto"/>
        <w:jc w:val="both"/>
        <w:rPr>
          <w:rFonts w:ascii="Work Sans" w:eastAsia="Work Sans" w:hAnsi="Work Sans" w:cs="Work Sans"/>
        </w:rPr>
      </w:pPr>
    </w:p>
    <w:p w14:paraId="5E00EA86" w14:textId="77777777" w:rsidR="003E4002" w:rsidRPr="003E4002" w:rsidRDefault="003E4002" w:rsidP="003E4002">
      <w:pPr>
        <w:numPr>
          <w:ilvl w:val="0"/>
          <w:numId w:val="1"/>
        </w:numPr>
        <w:pBdr>
          <w:top w:val="nil"/>
          <w:left w:val="nil"/>
          <w:bottom w:val="nil"/>
          <w:right w:val="nil"/>
          <w:between w:val="nil"/>
        </w:pBdr>
        <w:suppressAutoHyphens w:val="0"/>
        <w:spacing w:after="0" w:line="480" w:lineRule="auto"/>
        <w:jc w:val="center"/>
        <w:rPr>
          <w:rFonts w:ascii="Work Sans" w:eastAsia="Work Sans" w:hAnsi="Work Sans" w:cs="Work Sans"/>
        </w:rPr>
      </w:pPr>
      <w:r w:rsidRPr="003E4002">
        <w:rPr>
          <w:rFonts w:ascii="Work Sans" w:eastAsia="Work Sans" w:hAnsi="Work Sans" w:cs="Work Sans"/>
        </w:rPr>
        <w:t>FUNDAMENTOS JURIDICOS</w:t>
      </w:r>
    </w:p>
    <w:p w14:paraId="6431FEAE" w14:textId="77777777" w:rsidR="003E4002" w:rsidRPr="002972F1" w:rsidRDefault="003E4002" w:rsidP="003E4002">
      <w:pPr>
        <w:spacing w:line="480" w:lineRule="auto"/>
        <w:ind w:right="51"/>
        <w:jc w:val="both"/>
        <w:rPr>
          <w:rFonts w:ascii="Work Sans" w:eastAsia="Work Sans" w:hAnsi="Work Sans" w:cs="Work Sans"/>
        </w:rPr>
      </w:pPr>
    </w:p>
    <w:p w14:paraId="6D04378B" w14:textId="77777777" w:rsidR="003E4002" w:rsidRPr="002972F1" w:rsidRDefault="003E4002" w:rsidP="003E4002">
      <w:pPr>
        <w:spacing w:line="480" w:lineRule="auto"/>
        <w:ind w:right="51"/>
        <w:jc w:val="both"/>
        <w:rPr>
          <w:rFonts w:ascii="Work Sans" w:eastAsia="Work Sans" w:hAnsi="Work Sans" w:cs="Work Sans"/>
        </w:rPr>
      </w:pPr>
      <w:r w:rsidRPr="002972F1">
        <w:rPr>
          <w:rFonts w:ascii="Work Sans" w:eastAsia="Work Sans" w:hAnsi="Work Sans" w:cs="Work Sans"/>
        </w:rPr>
        <w:t xml:space="preserve">Resulta pertinente adoptar las medidas necesarias para sanear el error involuntario presentado en la etapa contractual, toda vez no se puede afectar a la contratista por la expedición tardía del RP y reconocimiento de honorarios a futuro sin reconocer la totalidad de días donde la contratista </w:t>
      </w:r>
      <w:r w:rsidRPr="003E4002">
        <w:rPr>
          <w:rFonts w:ascii="Work Sans" w:eastAsia="Work Sans" w:hAnsi="Work Sans" w:cs="Work Sans"/>
        </w:rPr>
        <w:t>YURI ANDREA ALARCON RODRÍGUEZ</w:t>
      </w:r>
      <w:r w:rsidRPr="002972F1">
        <w:rPr>
          <w:rFonts w:ascii="Work Sans" w:eastAsia="Work Sans" w:hAnsi="Work Sans" w:cs="Work Sans"/>
        </w:rPr>
        <w:t xml:space="preserve"> desempeño sus actividades como contratista. </w:t>
      </w:r>
    </w:p>
    <w:p w14:paraId="55D3C3A2" w14:textId="4788D135" w:rsidR="003E4002" w:rsidRDefault="003E4002" w:rsidP="003E4002">
      <w:pPr>
        <w:spacing w:line="480" w:lineRule="auto"/>
        <w:ind w:right="51"/>
        <w:jc w:val="both"/>
        <w:rPr>
          <w:rFonts w:ascii="Work Sans" w:eastAsia="Work Sans" w:hAnsi="Work Sans" w:cs="Work Sans"/>
        </w:rPr>
      </w:pPr>
    </w:p>
    <w:p w14:paraId="66CEB88A" w14:textId="238A819E" w:rsidR="003E4002" w:rsidRDefault="003E4002" w:rsidP="003E4002">
      <w:pPr>
        <w:spacing w:line="480" w:lineRule="auto"/>
        <w:ind w:right="51"/>
        <w:jc w:val="both"/>
        <w:rPr>
          <w:rFonts w:ascii="Work Sans" w:eastAsia="Work Sans" w:hAnsi="Work Sans" w:cs="Work Sans"/>
        </w:rPr>
      </w:pPr>
    </w:p>
    <w:p w14:paraId="139B4B11" w14:textId="479B7549" w:rsidR="003E4002" w:rsidRDefault="003E4002" w:rsidP="003E4002">
      <w:pPr>
        <w:spacing w:line="480" w:lineRule="auto"/>
        <w:ind w:right="51"/>
        <w:jc w:val="both"/>
        <w:rPr>
          <w:rFonts w:ascii="Work Sans" w:eastAsia="Work Sans" w:hAnsi="Work Sans" w:cs="Work Sans"/>
        </w:rPr>
      </w:pPr>
    </w:p>
    <w:p w14:paraId="31EF4E82" w14:textId="77777777" w:rsidR="003E4002" w:rsidRPr="002972F1" w:rsidRDefault="003E4002" w:rsidP="003E4002">
      <w:pPr>
        <w:spacing w:line="480" w:lineRule="auto"/>
        <w:ind w:right="51"/>
        <w:jc w:val="both"/>
        <w:rPr>
          <w:rFonts w:ascii="Work Sans" w:eastAsia="Work Sans" w:hAnsi="Work Sans" w:cs="Work Sans"/>
        </w:rPr>
      </w:pPr>
    </w:p>
    <w:p w14:paraId="38050CAC" w14:textId="77777777" w:rsidR="003E4002" w:rsidRPr="003E4002" w:rsidRDefault="003E4002" w:rsidP="003E4002">
      <w:pPr>
        <w:numPr>
          <w:ilvl w:val="1"/>
          <w:numId w:val="1"/>
        </w:numPr>
        <w:pBdr>
          <w:top w:val="nil"/>
          <w:left w:val="nil"/>
          <w:bottom w:val="nil"/>
          <w:right w:val="nil"/>
          <w:between w:val="nil"/>
        </w:pBdr>
        <w:suppressAutoHyphens w:val="0"/>
        <w:spacing w:after="0" w:line="480" w:lineRule="auto"/>
        <w:jc w:val="both"/>
        <w:rPr>
          <w:rFonts w:ascii="Work Sans" w:eastAsia="Work Sans" w:hAnsi="Work Sans" w:cs="Work Sans"/>
          <w:b/>
        </w:rPr>
      </w:pPr>
      <w:r w:rsidRPr="003E4002">
        <w:rPr>
          <w:rFonts w:ascii="Work Sans" w:eastAsia="Work Sans" w:hAnsi="Work Sans" w:cs="Work Sans"/>
          <w:b/>
        </w:rPr>
        <w:lastRenderedPageBreak/>
        <w:t>Existencia y validez del contrato estatal</w:t>
      </w:r>
    </w:p>
    <w:p w14:paraId="34C3EEC3" w14:textId="77777777" w:rsidR="003E4002" w:rsidRPr="002972F1" w:rsidRDefault="003E4002" w:rsidP="003E4002">
      <w:pPr>
        <w:pBdr>
          <w:top w:val="nil"/>
          <w:left w:val="nil"/>
          <w:bottom w:val="nil"/>
          <w:right w:val="nil"/>
          <w:between w:val="nil"/>
        </w:pBdr>
        <w:spacing w:line="480" w:lineRule="auto"/>
        <w:jc w:val="both"/>
        <w:rPr>
          <w:rFonts w:ascii="Work Sans" w:eastAsia="Work Sans" w:hAnsi="Work Sans" w:cs="Work Sans"/>
        </w:rPr>
      </w:pPr>
    </w:p>
    <w:p w14:paraId="5BAB853B"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La jurisprudencia del Consejo de Estado ha reiterado de manera constante que el Registro Presupuestal (RP) no constituye un requisito para la existencia del contrato estatal, sino un presupuesto necesario para su ejecución.</w:t>
      </w:r>
    </w:p>
    <w:p w14:paraId="5E2312D5" w14:textId="77777777" w:rsidR="003E4002" w:rsidRPr="002972F1" w:rsidRDefault="003E4002" w:rsidP="003E4002">
      <w:pPr>
        <w:spacing w:line="480" w:lineRule="auto"/>
        <w:jc w:val="both"/>
        <w:rPr>
          <w:rFonts w:ascii="Work Sans" w:eastAsia="Work Sans" w:hAnsi="Work Sans" w:cs="Work Sans"/>
        </w:rPr>
      </w:pPr>
    </w:p>
    <w:p w14:paraId="02964C86" w14:textId="77777777" w:rsidR="003E4002" w:rsidRPr="002972F1" w:rsidRDefault="003E4002" w:rsidP="003E4002">
      <w:pPr>
        <w:spacing w:line="480" w:lineRule="auto"/>
        <w:jc w:val="both"/>
        <w:rPr>
          <w:rFonts w:ascii="Work Sans" w:eastAsia="Work Sans" w:hAnsi="Work Sans" w:cs="Work Sans"/>
        </w:rPr>
      </w:pPr>
      <w:r w:rsidRPr="002972F1">
        <w:rPr>
          <w:rFonts w:ascii="Work Sans" w:eastAsia="Work Sans" w:hAnsi="Work Sans" w:cs="Work Sans"/>
        </w:rPr>
        <w:t>En este sentido, el artículo 41 de la Ley 80 de 1993 establece expresamente que:</w:t>
      </w:r>
    </w:p>
    <w:p w14:paraId="5B026DAC" w14:textId="77777777" w:rsidR="003E4002" w:rsidRPr="002972F1" w:rsidRDefault="003E4002" w:rsidP="003E4002">
      <w:pPr>
        <w:spacing w:line="480" w:lineRule="auto"/>
        <w:jc w:val="both"/>
        <w:rPr>
          <w:rFonts w:ascii="Work Sans" w:eastAsia="Work Sans" w:hAnsi="Work Sans" w:cs="Work Sans"/>
        </w:rPr>
      </w:pPr>
    </w:p>
    <w:p w14:paraId="073633C9" w14:textId="77777777" w:rsidR="003E4002" w:rsidRPr="003E4002" w:rsidRDefault="003E4002" w:rsidP="003E4002">
      <w:pPr>
        <w:tabs>
          <w:tab w:val="left" w:pos="9072"/>
        </w:tabs>
        <w:spacing w:line="480" w:lineRule="auto"/>
        <w:ind w:left="426" w:right="332"/>
        <w:jc w:val="both"/>
        <w:rPr>
          <w:rFonts w:ascii="Work Sans" w:eastAsia="Work Sans" w:hAnsi="Work Sans" w:cs="Work Sans"/>
        </w:rPr>
      </w:pPr>
      <w:r w:rsidRPr="003E4002">
        <w:rPr>
          <w:rFonts w:ascii="Work Sans" w:eastAsia="Work Sans" w:hAnsi="Work Sans" w:cs="Work Sans"/>
        </w:rPr>
        <w:t>“Los contratos del Estado se perfeccionan cuando se logre acuerdo sobre el objeto y la contraprestación y éste se eleve a escrito.”</w:t>
      </w:r>
    </w:p>
    <w:p w14:paraId="456D5766" w14:textId="77777777" w:rsidR="003E4002" w:rsidRPr="0029379B" w:rsidRDefault="003E4002" w:rsidP="003E4002">
      <w:pPr>
        <w:pBdr>
          <w:top w:val="nil"/>
          <w:left w:val="nil"/>
          <w:bottom w:val="nil"/>
          <w:right w:val="nil"/>
          <w:between w:val="nil"/>
        </w:pBdr>
        <w:spacing w:line="480" w:lineRule="auto"/>
        <w:ind w:right="332"/>
        <w:jc w:val="both"/>
        <w:rPr>
          <w:rFonts w:ascii="Work Sans" w:eastAsia="Work Sans" w:hAnsi="Work Sans" w:cs="Work Sans"/>
        </w:rPr>
      </w:pPr>
    </w:p>
    <w:p w14:paraId="0EBEB26F" w14:textId="77777777" w:rsidR="003E4002" w:rsidRPr="002972F1" w:rsidRDefault="003E4002" w:rsidP="003E4002">
      <w:pPr>
        <w:pBdr>
          <w:top w:val="nil"/>
          <w:left w:val="nil"/>
          <w:bottom w:val="nil"/>
          <w:right w:val="nil"/>
          <w:between w:val="nil"/>
        </w:pBdr>
        <w:spacing w:line="480" w:lineRule="auto"/>
        <w:jc w:val="both"/>
        <w:rPr>
          <w:rFonts w:ascii="Work Sans" w:eastAsia="Work Sans" w:hAnsi="Work Sans" w:cs="Work Sans"/>
        </w:rPr>
      </w:pPr>
      <w:r w:rsidRPr="002972F1">
        <w:rPr>
          <w:rFonts w:ascii="Work Sans" w:eastAsia="Work Sans" w:hAnsi="Work Sans" w:cs="Work Sans"/>
        </w:rPr>
        <w:t>De esta disposición se tiene que el RP no es un requisito de perfeccionamiento, sino un requisito para la ejecución, cuya ausencia o expedición tardía no afecta la validez ni la existencia del contrato, sino únicamente la habilitación para iniciar actividades.</w:t>
      </w:r>
    </w:p>
    <w:p w14:paraId="44CFFFA6" w14:textId="77777777" w:rsidR="003E4002" w:rsidRPr="002972F1" w:rsidRDefault="003E4002" w:rsidP="003E4002">
      <w:pPr>
        <w:pBdr>
          <w:top w:val="nil"/>
          <w:left w:val="nil"/>
          <w:bottom w:val="nil"/>
          <w:right w:val="nil"/>
          <w:between w:val="nil"/>
        </w:pBdr>
        <w:spacing w:line="480" w:lineRule="auto"/>
        <w:jc w:val="both"/>
        <w:rPr>
          <w:rFonts w:ascii="Work Sans" w:eastAsia="Work Sans" w:hAnsi="Work Sans" w:cs="Work Sans"/>
        </w:rPr>
      </w:pPr>
    </w:p>
    <w:p w14:paraId="7A8F6D66" w14:textId="77777777" w:rsidR="003E4002" w:rsidRPr="002972F1" w:rsidRDefault="003E4002" w:rsidP="003E4002">
      <w:pPr>
        <w:spacing w:line="480" w:lineRule="auto"/>
        <w:jc w:val="both"/>
        <w:rPr>
          <w:rFonts w:ascii="Work Sans" w:eastAsia="Work Sans" w:hAnsi="Work Sans" w:cs="Work Sans"/>
        </w:rPr>
      </w:pPr>
      <w:r w:rsidRPr="002972F1">
        <w:rPr>
          <w:rFonts w:ascii="Work Sans" w:eastAsia="Work Sans" w:hAnsi="Work Sans" w:cs="Work Sans"/>
        </w:rPr>
        <w:t xml:space="preserve">En línea con la disposición legal en jurisprudencia del Consejo de Estado, esté, ha reiterado de manera uniforme que el Registro Presupuestal (RP) no constituye un requisito para la existencia del contrato </w:t>
      </w:r>
      <w:r w:rsidRPr="002972F1">
        <w:rPr>
          <w:rFonts w:ascii="Work Sans" w:eastAsia="Work Sans" w:hAnsi="Work Sans" w:cs="Work Sans"/>
        </w:rPr>
        <w:lastRenderedPageBreak/>
        <w:t>estatal, sino un presupuesto habilitante para su ejecución. En múltiples providencias, especialmente de las Secciones Tercera y Quinta,</w:t>
      </w:r>
      <w:r w:rsidRPr="003E4002">
        <w:rPr>
          <w:rFonts w:ascii="Work Sans" w:eastAsia="Work Sans" w:hAnsi="Work Sans" w:cs="Work Sans"/>
        </w:rPr>
        <w:footnoteReference w:id="1"/>
      </w:r>
      <w:r w:rsidRPr="002972F1">
        <w:rPr>
          <w:rFonts w:ascii="Work Sans" w:eastAsia="Work Sans" w:hAnsi="Work Sans" w:cs="Work Sans"/>
        </w:rPr>
        <w:t xml:space="preserve"> se ha precisado que el contrato estatal se perfecciona con la concurrencia del acuerdo de voluntades y el cumplimiento de los requisitos formales previstos en la ley.</w:t>
      </w:r>
    </w:p>
    <w:p w14:paraId="6B64EA0C" w14:textId="77777777" w:rsidR="003E4002" w:rsidRPr="002972F1" w:rsidRDefault="003E4002" w:rsidP="003E4002">
      <w:pPr>
        <w:spacing w:before="280" w:after="280" w:line="480" w:lineRule="auto"/>
        <w:jc w:val="both"/>
        <w:rPr>
          <w:rFonts w:ascii="Work Sans" w:eastAsia="Work Sans" w:hAnsi="Work Sans" w:cs="Work Sans"/>
        </w:rPr>
      </w:pPr>
      <w:r w:rsidRPr="002972F1">
        <w:rPr>
          <w:rFonts w:ascii="Work Sans" w:eastAsia="Work Sans" w:hAnsi="Work Sans" w:cs="Work Sans"/>
        </w:rPr>
        <w:t>Asimismo, la postura doctrinal y jurisprudencial ha venido consolidándose desde la sentencia del 28 de septiembre de 2006, Exp. 15.307, en la cual el Consejo de Estado precisó que la ausencia o tardanza del registro presupuestal no afecta la existencia ni la validez del contrato, pues dicho registro corresponde exclusivamente a un requisito de ejecución contractual.</w:t>
      </w:r>
    </w:p>
    <w:p w14:paraId="1973C247" w14:textId="77777777" w:rsidR="003E4002" w:rsidRPr="002972F1" w:rsidRDefault="003E4002" w:rsidP="003E4002">
      <w:pPr>
        <w:spacing w:before="280" w:after="280" w:line="480" w:lineRule="auto"/>
        <w:jc w:val="both"/>
        <w:rPr>
          <w:rFonts w:ascii="Work Sans" w:eastAsia="Work Sans" w:hAnsi="Work Sans" w:cs="Work Sans"/>
        </w:rPr>
      </w:pPr>
      <w:r w:rsidRPr="002972F1">
        <w:rPr>
          <w:rFonts w:ascii="Work Sans" w:eastAsia="Work Sans" w:hAnsi="Work Sans" w:cs="Work Sans"/>
        </w:rPr>
        <w:lastRenderedPageBreak/>
        <w:t>En otra</w:t>
      </w:r>
      <w:r>
        <w:rPr>
          <w:rFonts w:ascii="Work Sans" w:eastAsia="Work Sans" w:hAnsi="Work Sans" w:cs="Work Sans"/>
        </w:rPr>
        <w:t>s</w:t>
      </w:r>
      <w:r w:rsidRPr="002972F1">
        <w:rPr>
          <w:rFonts w:ascii="Work Sans" w:eastAsia="Work Sans" w:hAnsi="Work Sans" w:cs="Work Sans"/>
        </w:rPr>
        <w:t xml:space="preserve"> palabras, se precisa que el registro presupuestal constituye la certificación mediante la cual se acredita la existencia de apropiación presupuestal destinada al cumplimiento de las obligaciones pecuniarias del contrato. Su finalidad es prevenir erogaciones superiores a las autorizadas, evitar desviaciones de recursos y garantizar que los compromisos asumidos cuenten con respaldo presupuestal suficiente.</w:t>
      </w:r>
    </w:p>
    <w:p w14:paraId="08F0D146" w14:textId="77777777" w:rsidR="003E4002" w:rsidRPr="002972F1" w:rsidRDefault="003E4002" w:rsidP="003E4002">
      <w:pPr>
        <w:spacing w:before="280" w:after="280" w:line="480" w:lineRule="auto"/>
        <w:jc w:val="both"/>
        <w:rPr>
          <w:rFonts w:ascii="Work Sans" w:eastAsia="Work Sans" w:hAnsi="Work Sans" w:cs="Work Sans"/>
        </w:rPr>
      </w:pPr>
      <w:r w:rsidRPr="002972F1">
        <w:rPr>
          <w:rFonts w:ascii="Work Sans" w:eastAsia="Work Sans" w:hAnsi="Work Sans" w:cs="Work Sans"/>
        </w:rPr>
        <w:t>De conformidad con lo expuesto por la jurisprudencia y la doctrina especializada, se tiene entonces que:</w:t>
      </w:r>
    </w:p>
    <w:p w14:paraId="199915BE" w14:textId="77777777" w:rsidR="003E4002" w:rsidRPr="002972F1" w:rsidRDefault="003E4002" w:rsidP="003E4002">
      <w:pPr>
        <w:numPr>
          <w:ilvl w:val="0"/>
          <w:numId w:val="3"/>
        </w:numPr>
        <w:suppressAutoHyphens w:val="0"/>
        <w:spacing w:before="280" w:after="0" w:line="480" w:lineRule="auto"/>
        <w:jc w:val="both"/>
        <w:rPr>
          <w:rFonts w:ascii="Work Sans" w:eastAsia="Work Sans" w:hAnsi="Work Sans" w:cs="Work Sans"/>
        </w:rPr>
      </w:pPr>
      <w:r w:rsidRPr="002972F1">
        <w:rPr>
          <w:rFonts w:ascii="Work Sans" w:eastAsia="Work Sans" w:hAnsi="Work Sans" w:cs="Work Sans"/>
        </w:rPr>
        <w:t>Gramátical y jurídicamente, un contrato es perfecto cuando existe, es decir, cuando concurren sus elementos esenciales.</w:t>
      </w:r>
    </w:p>
    <w:p w14:paraId="20E3CD0D" w14:textId="77777777" w:rsidR="003E4002" w:rsidRPr="002972F1" w:rsidRDefault="003E4002" w:rsidP="003E4002">
      <w:pPr>
        <w:numPr>
          <w:ilvl w:val="0"/>
          <w:numId w:val="3"/>
        </w:numPr>
        <w:suppressAutoHyphens w:val="0"/>
        <w:spacing w:after="0" w:line="480" w:lineRule="auto"/>
        <w:jc w:val="both"/>
        <w:rPr>
          <w:rFonts w:ascii="Work Sans" w:eastAsia="Work Sans" w:hAnsi="Work Sans" w:cs="Work Sans"/>
        </w:rPr>
      </w:pPr>
      <w:r w:rsidRPr="002972F1">
        <w:rPr>
          <w:rFonts w:ascii="Work Sans" w:eastAsia="Work Sans" w:hAnsi="Work Sans" w:cs="Work Sans"/>
        </w:rPr>
        <w:t>En virtud del artículo 41 de la Ley 80 de 1993, el contrato estatal existe —o se perfecciona— cuando “se logra acuerdo sobre el objeto y la contraprestación y éste se eleve a escrito”.</w:t>
      </w:r>
    </w:p>
    <w:p w14:paraId="5E3E39F2" w14:textId="77777777" w:rsidR="003E4002" w:rsidRPr="002972F1" w:rsidRDefault="003E4002" w:rsidP="003E4002">
      <w:pPr>
        <w:numPr>
          <w:ilvl w:val="0"/>
          <w:numId w:val="3"/>
        </w:numPr>
        <w:suppressAutoHyphens w:val="0"/>
        <w:spacing w:after="0" w:line="480" w:lineRule="auto"/>
        <w:jc w:val="both"/>
        <w:rPr>
          <w:rFonts w:ascii="Work Sans" w:eastAsia="Work Sans" w:hAnsi="Work Sans" w:cs="Work Sans"/>
        </w:rPr>
      </w:pPr>
      <w:r w:rsidRPr="002972F1">
        <w:rPr>
          <w:rFonts w:ascii="Work Sans" w:eastAsia="Work Sans" w:hAnsi="Work Sans" w:cs="Work Sans"/>
        </w:rPr>
        <w:t>El contrato se torna ejecutable sólo cuando se cumplen los requisitos previstos en el inciso segundo del mismo artículo, interpretado en concordancia con el artículo 49 de la Ley 179 de 1994, compilado en el artículo 71 del Estatuto Orgánico del Presupuesto (D. 111 de 1996).</w:t>
      </w:r>
    </w:p>
    <w:p w14:paraId="1441EB08" w14:textId="77777777" w:rsidR="003E4002" w:rsidRPr="002972F1" w:rsidRDefault="003E4002" w:rsidP="003E4002">
      <w:pPr>
        <w:numPr>
          <w:ilvl w:val="0"/>
          <w:numId w:val="3"/>
        </w:numPr>
        <w:suppressAutoHyphens w:val="0"/>
        <w:spacing w:after="280" w:line="480" w:lineRule="auto"/>
        <w:jc w:val="both"/>
        <w:rPr>
          <w:rFonts w:ascii="Work Sans" w:eastAsia="Work Sans" w:hAnsi="Work Sans" w:cs="Work Sans"/>
        </w:rPr>
      </w:pPr>
      <w:r w:rsidRPr="002972F1">
        <w:rPr>
          <w:rFonts w:ascii="Work Sans" w:eastAsia="Work Sans" w:hAnsi="Work Sans" w:cs="Work Sans"/>
        </w:rPr>
        <w:t>En consecuencia, el registro presupuestal no constituye una condición de existencia del contrato estatal, sino un presupuesto para su ejecución</w:t>
      </w:r>
      <w:r w:rsidRPr="003E4002">
        <w:rPr>
          <w:rFonts w:ascii="Work Sans" w:eastAsia="Work Sans" w:hAnsi="Work Sans" w:cs="Work Sans"/>
        </w:rPr>
        <w:footnoteReference w:id="2"/>
      </w:r>
    </w:p>
    <w:p w14:paraId="3FE25DE2" w14:textId="77777777" w:rsidR="003E4002" w:rsidRPr="002972F1" w:rsidRDefault="003E4002" w:rsidP="003E4002">
      <w:pPr>
        <w:spacing w:after="280" w:line="480" w:lineRule="auto"/>
        <w:jc w:val="both"/>
        <w:rPr>
          <w:rFonts w:ascii="Work Sans" w:eastAsia="Work Sans" w:hAnsi="Work Sans" w:cs="Work Sans"/>
        </w:rPr>
      </w:pPr>
      <w:r w:rsidRPr="002972F1">
        <w:rPr>
          <w:rFonts w:ascii="Work Sans" w:eastAsia="Work Sans" w:hAnsi="Work Sans" w:cs="Work Sans"/>
        </w:rPr>
        <w:lastRenderedPageBreak/>
        <w:t>Asimismo, en diferentes conceptos emitidos por la Agencia Nacional de Contratación Pública – Colombia Compra Eficiente, entre ellos los Conceptos C-1039 de 2024, C-075 de 2021 y C-844 de 2020, se ha explicado de manera clara que el registro presupuestal, al ser un requisito de ejecución del contrato, normalmente se expide con posterioridad a su celebración.</w:t>
      </w:r>
    </w:p>
    <w:p w14:paraId="6A3887FB" w14:textId="77777777" w:rsidR="003E4002" w:rsidRPr="003E4002" w:rsidRDefault="003E4002" w:rsidP="003E4002">
      <w:pPr>
        <w:spacing w:after="280" w:line="480" w:lineRule="auto"/>
        <w:jc w:val="both"/>
        <w:rPr>
          <w:rFonts w:ascii="Work Sans" w:eastAsia="Work Sans" w:hAnsi="Work Sans" w:cs="Work Sans"/>
          <w:b/>
        </w:rPr>
      </w:pPr>
      <w:r w:rsidRPr="002972F1">
        <w:rPr>
          <w:rFonts w:ascii="Work Sans" w:eastAsia="Work Sans" w:hAnsi="Work Sans" w:cs="Work Sans"/>
        </w:rPr>
        <w:t xml:space="preserve">Teniendo en cuenta lo anterior, puede afirmarse que el contrato No. </w:t>
      </w:r>
      <w:r w:rsidRPr="003E4002">
        <w:rPr>
          <w:rFonts w:ascii="Work Sans" w:eastAsia="Work Sans" w:hAnsi="Work Sans" w:cs="Work Sans"/>
        </w:rPr>
        <w:t>GGC-1435-2025</w:t>
      </w:r>
      <w:r w:rsidRPr="002972F1">
        <w:rPr>
          <w:rFonts w:ascii="Work Sans" w:eastAsia="Work Sans" w:hAnsi="Work Sans" w:cs="Work Sans"/>
        </w:rPr>
        <w:t xml:space="preserve"> existe, puesto que </w:t>
      </w:r>
      <w:r w:rsidRPr="003E4002">
        <w:rPr>
          <w:rFonts w:ascii="Work Sans" w:eastAsia="Work Sans" w:hAnsi="Work Sans" w:cs="Work Sans"/>
        </w:rPr>
        <w:t>la expedición del registro presupuestal no afecta la existencia ni la validez del contrato, dado que no constituye un requisito esencial ni un elemento de validez en materia contractual.</w:t>
      </w:r>
    </w:p>
    <w:p w14:paraId="15C5A312" w14:textId="77777777" w:rsidR="003E4002" w:rsidRPr="003E4002" w:rsidRDefault="003E4002" w:rsidP="003E4002">
      <w:pPr>
        <w:numPr>
          <w:ilvl w:val="1"/>
          <w:numId w:val="1"/>
        </w:numPr>
        <w:pBdr>
          <w:top w:val="nil"/>
          <w:left w:val="nil"/>
          <w:bottom w:val="nil"/>
          <w:right w:val="nil"/>
          <w:between w:val="nil"/>
        </w:pBdr>
        <w:suppressAutoHyphens w:val="0"/>
        <w:spacing w:after="0" w:line="480" w:lineRule="auto"/>
        <w:jc w:val="both"/>
        <w:rPr>
          <w:rFonts w:ascii="Work Sans" w:eastAsia="Work Sans" w:hAnsi="Work Sans" w:cs="Work Sans"/>
          <w:b/>
        </w:rPr>
      </w:pPr>
      <w:r w:rsidRPr="003E4002">
        <w:rPr>
          <w:rFonts w:ascii="Work Sans" w:eastAsia="Work Sans" w:hAnsi="Work Sans" w:cs="Work Sans"/>
          <w:b/>
        </w:rPr>
        <w:t xml:space="preserve">Registro presupuestal </w:t>
      </w:r>
    </w:p>
    <w:p w14:paraId="5A0D98D1"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En relación con la naturaleza y finalidad del registro presupuestal, la Sección Tercera, Subsección C, del Consejo de Estado, en sentencia del 3 de mayo de 2017, dentro del expediente 05001-23-31-000-1998-01350-01 (28565), precisó que:</w:t>
      </w:r>
    </w:p>
    <w:p w14:paraId="56AC7B5E" w14:textId="77777777" w:rsidR="003E4002" w:rsidRDefault="003E4002" w:rsidP="003E4002">
      <w:pPr>
        <w:spacing w:before="120" w:after="120" w:line="480" w:lineRule="auto"/>
        <w:jc w:val="both"/>
        <w:rPr>
          <w:rFonts w:ascii="Work Sans" w:eastAsia="Work Sans" w:hAnsi="Work Sans" w:cs="Work Sans"/>
        </w:rPr>
      </w:pPr>
      <w:r w:rsidRPr="0029379B">
        <w:rPr>
          <w:rFonts w:ascii="Work Sans" w:eastAsia="Work Sans" w:hAnsi="Work Sans" w:cs="Work Sans"/>
        </w:rPr>
        <w:t xml:space="preserve">“El registro presupuestal garantiza las apropiaciones específicas para afectar un negocio jurídico concreto: su precio, un contratista identificado y un plazo de ejecución concreto. En este escenario, el certificado incluye la información básica del negocio y el artículo 20 del Decreto 111 de 1996 lo define como ‘la operación mediante la cual se perfecciona el compromiso y se afecta en forma definitiva la apropiación, garantizando que ésta no será desviada a ningún otro fin. En esta operación se debe indicar claramente el valor y el plazo de las prestaciones a las que haya lugar’. (...) Por su naturaleza, los recursos reservados </w:t>
      </w:r>
      <w:r w:rsidRPr="0029379B">
        <w:rPr>
          <w:rFonts w:ascii="Work Sans" w:eastAsia="Work Sans" w:hAnsi="Work Sans" w:cs="Work Sans"/>
        </w:rPr>
        <w:lastRenderedPageBreak/>
        <w:t>para pagar las prestaciones de un contrato, a un contratista identificado, no pueden emplearse para pagar otro contrato.”</w:t>
      </w:r>
    </w:p>
    <w:p w14:paraId="32059F23" w14:textId="77777777" w:rsidR="003E4002" w:rsidRPr="00B51C13" w:rsidRDefault="003E4002" w:rsidP="003E4002">
      <w:pPr>
        <w:spacing w:before="120" w:after="120" w:line="480" w:lineRule="auto"/>
        <w:jc w:val="both"/>
        <w:rPr>
          <w:rFonts w:ascii="Work Sans" w:eastAsia="Work Sans" w:hAnsi="Work Sans" w:cs="Work Sans"/>
        </w:rPr>
      </w:pPr>
      <w:r w:rsidRPr="00B51C13">
        <w:rPr>
          <w:rFonts w:ascii="Work Sans" w:eastAsia="Work Sans" w:hAnsi="Work Sans" w:cs="Work Sans"/>
        </w:rPr>
        <w:t xml:space="preserve">El 19 de junio de 2025 se suscribió el contrato de prestación de servicios profesionales No. GGC-1435-2025, cuyo objeto es “Apoyar la elaboración de estudios de proyección de oferta y demanda en la cadena de valor de hidrocarburos”. Para su celebración se contó con el Certificado de Disponibilidad Presupuestal (CDP) No. 200825, por valor de </w:t>
      </w:r>
      <w:r w:rsidRPr="003E4002">
        <w:rPr>
          <w:rFonts w:ascii="Work Sans" w:eastAsia="Work Sans" w:hAnsi="Work Sans" w:cs="Work Sans"/>
        </w:rPr>
        <w:t>TREINTA Y DOS MILLONES QUINIENTOS MIL PESOS ($32.500.000 M/CTE)</w:t>
      </w:r>
      <w:r w:rsidRPr="00B51C13">
        <w:rPr>
          <w:rFonts w:ascii="Work Sans" w:eastAsia="Work Sans" w:hAnsi="Work Sans" w:cs="Work Sans"/>
        </w:rPr>
        <w:t>, con un plazo de seis (6) meses y quince (15) días, sin exceder el 31 de diciembre de 2025.</w:t>
      </w:r>
    </w:p>
    <w:p w14:paraId="1CB6E153" w14:textId="77777777" w:rsidR="003E4002" w:rsidRPr="00B51C13" w:rsidRDefault="003E4002" w:rsidP="003E4002">
      <w:pPr>
        <w:spacing w:before="120" w:after="120" w:line="480" w:lineRule="auto"/>
        <w:jc w:val="both"/>
        <w:rPr>
          <w:rFonts w:ascii="Work Sans" w:eastAsia="Work Sans" w:hAnsi="Work Sans" w:cs="Work Sans"/>
        </w:rPr>
      </w:pPr>
      <w:r w:rsidRPr="00B51C13">
        <w:rPr>
          <w:rFonts w:ascii="Work Sans" w:eastAsia="Work Sans" w:hAnsi="Work Sans" w:cs="Work Sans"/>
        </w:rPr>
        <w:t>En atención al principio de planeación, la apropiación presupuestal comprometida quedó vinculada al contrato No. GGC-1435-2025 desde su perfeccionamiento. No obstante, el Registro Presupuestal inicialmente expedido a nombre de la contratista cedente no podía producir efectos respecto de la etapa posterior a la cesión, habida cuenta de que la identificación del contratista debe corresponder con quien ejecuta materialmente el compromiso presupuestal.</w:t>
      </w:r>
    </w:p>
    <w:p w14:paraId="2EEEFE4D" w14:textId="77777777" w:rsidR="003E4002" w:rsidRPr="00B51C13" w:rsidRDefault="003E4002" w:rsidP="003E4002">
      <w:pPr>
        <w:spacing w:before="120" w:after="120" w:line="480" w:lineRule="auto"/>
        <w:jc w:val="both"/>
        <w:rPr>
          <w:rFonts w:ascii="Work Sans" w:eastAsia="Work Sans" w:hAnsi="Work Sans" w:cs="Work Sans"/>
        </w:rPr>
      </w:pPr>
      <w:r w:rsidRPr="00B51C13">
        <w:rPr>
          <w:rFonts w:ascii="Work Sans" w:eastAsia="Work Sans" w:hAnsi="Work Sans" w:cs="Work Sans"/>
        </w:rPr>
        <w:t xml:space="preserve">El 14 de octubre de 2025 se publicó la cesión contractual mediante la cual </w:t>
      </w:r>
      <w:r w:rsidRPr="003E4002">
        <w:rPr>
          <w:rFonts w:ascii="Work Sans" w:eastAsia="Work Sans" w:hAnsi="Work Sans" w:cs="Work Sans"/>
        </w:rPr>
        <w:t>YURI ANDREA ALARCÓN RODRÍGUEZ</w:t>
      </w:r>
      <w:r w:rsidRPr="00B51C13">
        <w:rPr>
          <w:rFonts w:ascii="Work Sans" w:eastAsia="Work Sans" w:hAnsi="Work Sans" w:cs="Work Sans"/>
        </w:rPr>
        <w:t xml:space="preserve"> fue designada como cesionaria, contando con afiliación al Sistema General de Riesgos Laborales a partir del 16 de octubre de la misma anualidad, fecha en la cual inició la ejecución de sus actividades.</w:t>
      </w:r>
    </w:p>
    <w:p w14:paraId="219E9EF3" w14:textId="77777777" w:rsidR="003E4002" w:rsidRPr="00B51C13" w:rsidRDefault="003E4002" w:rsidP="003E4002">
      <w:pPr>
        <w:spacing w:before="120" w:after="120" w:line="480" w:lineRule="auto"/>
        <w:jc w:val="both"/>
        <w:rPr>
          <w:rFonts w:ascii="Work Sans" w:eastAsia="Work Sans" w:hAnsi="Work Sans" w:cs="Work Sans"/>
        </w:rPr>
      </w:pPr>
      <w:r w:rsidRPr="00B51C13">
        <w:rPr>
          <w:rFonts w:ascii="Work Sans" w:eastAsia="Work Sans" w:hAnsi="Work Sans" w:cs="Work Sans"/>
        </w:rPr>
        <w:t xml:space="preserve">En consecuencia, y con el fin de soportar presupuestalmente las obligaciones a cargo de la nueva contratista, se gestionó la expedición del Registro Presupuestal (RP) No. 720325 del 21 de noviembre, en </w:t>
      </w:r>
      <w:r w:rsidRPr="00B51C13">
        <w:rPr>
          <w:rFonts w:ascii="Work Sans" w:eastAsia="Work Sans" w:hAnsi="Work Sans" w:cs="Work Sans"/>
        </w:rPr>
        <w:lastRenderedPageBreak/>
        <w:t>el cual se incorporó de manera expresa a la cesionaria, quedando este afectado de forma exclusiva al contrato No. GGC-1435-2025.</w:t>
      </w:r>
    </w:p>
    <w:p w14:paraId="5D4494FC" w14:textId="77777777" w:rsidR="003E4002" w:rsidRPr="00B51C13" w:rsidRDefault="003E4002" w:rsidP="003E4002">
      <w:pPr>
        <w:spacing w:before="120" w:after="120" w:line="480" w:lineRule="auto"/>
        <w:jc w:val="both"/>
        <w:rPr>
          <w:rFonts w:ascii="Work Sans" w:eastAsia="Work Sans" w:hAnsi="Work Sans" w:cs="Work Sans"/>
        </w:rPr>
      </w:pPr>
      <w:r w:rsidRPr="00B51C13">
        <w:rPr>
          <w:rFonts w:ascii="Work Sans" w:eastAsia="Work Sans" w:hAnsi="Work Sans" w:cs="Work Sans"/>
        </w:rPr>
        <w:t xml:space="preserve">Es importante precisar que la cesión contractual </w:t>
      </w:r>
      <w:r w:rsidRPr="003E4002">
        <w:rPr>
          <w:rFonts w:ascii="Work Sans" w:eastAsia="Work Sans" w:hAnsi="Work Sans" w:cs="Work Sans"/>
        </w:rPr>
        <w:t>no modificó el valor, el plazo ni las obligaciones presupuestales</w:t>
      </w:r>
      <w:r w:rsidRPr="00B51C13">
        <w:rPr>
          <w:rFonts w:ascii="Work Sans" w:eastAsia="Work Sans" w:hAnsi="Work Sans" w:cs="Work Sans"/>
        </w:rPr>
        <w:t xml:space="preserve"> previamente definidas, razón por la cual la apropiación inicial permaneció vigente y asociada al contrato durante toda su ejecución.</w:t>
      </w:r>
    </w:p>
    <w:p w14:paraId="2B14770B" w14:textId="77777777" w:rsidR="003E4002" w:rsidRPr="00B51C13" w:rsidRDefault="003E4002" w:rsidP="003E4002">
      <w:pPr>
        <w:spacing w:before="120" w:after="120" w:line="480" w:lineRule="auto"/>
        <w:jc w:val="both"/>
        <w:rPr>
          <w:rFonts w:ascii="Work Sans" w:eastAsia="Work Sans" w:hAnsi="Work Sans" w:cs="Work Sans"/>
        </w:rPr>
      </w:pPr>
      <w:r w:rsidRPr="00B51C13">
        <w:rPr>
          <w:rFonts w:ascii="Work Sans" w:eastAsia="Work Sans" w:hAnsi="Work Sans" w:cs="Work Sans"/>
        </w:rPr>
        <w:t xml:space="preserve">En ese sentido, la expedición tardía del RP No. 720325 originada en un error involuntario </w:t>
      </w:r>
      <w:r w:rsidRPr="003E4002">
        <w:rPr>
          <w:rFonts w:ascii="Work Sans" w:eastAsia="Work Sans" w:hAnsi="Work Sans" w:cs="Work Sans"/>
        </w:rPr>
        <w:t>no genera la necesidad de nuevas apropiaciones</w:t>
      </w:r>
      <w:r w:rsidRPr="00B51C13">
        <w:rPr>
          <w:rFonts w:ascii="Work Sans" w:eastAsia="Work Sans" w:hAnsi="Work Sans" w:cs="Work Sans"/>
        </w:rPr>
        <w:t>, puesto que la disponibilidad presupuestal ya había sido prevista de conformidad con el valor y el plazo contractual.</w:t>
      </w:r>
    </w:p>
    <w:p w14:paraId="4B279F43" w14:textId="77777777" w:rsidR="003E4002" w:rsidRPr="0092549C" w:rsidRDefault="003E4002" w:rsidP="003E4002">
      <w:pPr>
        <w:spacing w:before="120" w:after="120" w:line="480" w:lineRule="auto"/>
        <w:jc w:val="both"/>
        <w:rPr>
          <w:rFonts w:ascii="Work Sans" w:eastAsia="Work Sans" w:hAnsi="Work Sans" w:cs="Work Sans"/>
        </w:rPr>
      </w:pPr>
      <w:r w:rsidRPr="00B51C13">
        <w:rPr>
          <w:rFonts w:ascii="Work Sans" w:eastAsia="Work Sans" w:hAnsi="Work Sans" w:cs="Work Sans"/>
        </w:rPr>
        <w:t xml:space="preserve">Por lo anterior, </w:t>
      </w:r>
      <w:r w:rsidRPr="003E4002">
        <w:rPr>
          <w:rFonts w:ascii="Work Sans" w:eastAsia="Work Sans" w:hAnsi="Work Sans" w:cs="Work Sans"/>
        </w:rPr>
        <w:t>el saneamiento administrativo resulta procedente</w:t>
      </w:r>
      <w:r w:rsidRPr="00B51C13">
        <w:rPr>
          <w:rFonts w:ascii="Work Sans" w:eastAsia="Work Sans" w:hAnsi="Work Sans" w:cs="Work Sans"/>
        </w:rPr>
        <w:t>, dado que el vicio identificado corresponde exclusivamente a un defecto de carácter formal, sin incidencia en la validez del compromiso ni en la afectación de la apropiación presupuestal. En consecuencia, el saneamiento constituye la medida idónea para corregir el error advertido.</w:t>
      </w:r>
    </w:p>
    <w:p w14:paraId="4A15A501" w14:textId="77777777" w:rsidR="003E4002" w:rsidRPr="002972F1" w:rsidRDefault="003E4002" w:rsidP="003E4002">
      <w:pPr>
        <w:pBdr>
          <w:top w:val="nil"/>
          <w:left w:val="nil"/>
          <w:bottom w:val="nil"/>
          <w:right w:val="nil"/>
          <w:between w:val="nil"/>
        </w:pBdr>
        <w:spacing w:line="360" w:lineRule="auto"/>
        <w:jc w:val="both"/>
        <w:rPr>
          <w:rFonts w:ascii="Work Sans" w:eastAsia="Work Sans" w:hAnsi="Work Sans" w:cs="Work Sans"/>
        </w:rPr>
      </w:pPr>
    </w:p>
    <w:p w14:paraId="3B680522" w14:textId="77777777" w:rsidR="003E4002" w:rsidRPr="003E4002" w:rsidRDefault="003E4002" w:rsidP="003E4002">
      <w:pPr>
        <w:numPr>
          <w:ilvl w:val="1"/>
          <w:numId w:val="1"/>
        </w:numPr>
        <w:pBdr>
          <w:top w:val="nil"/>
          <w:left w:val="nil"/>
          <w:bottom w:val="nil"/>
          <w:right w:val="nil"/>
          <w:between w:val="nil"/>
        </w:pBdr>
        <w:suppressAutoHyphens w:val="0"/>
        <w:spacing w:after="0" w:line="360" w:lineRule="auto"/>
        <w:jc w:val="both"/>
        <w:rPr>
          <w:rFonts w:ascii="Work Sans" w:eastAsia="Work Sans" w:hAnsi="Work Sans" w:cs="Work Sans"/>
          <w:b/>
        </w:rPr>
      </w:pPr>
      <w:r w:rsidRPr="003E4002">
        <w:rPr>
          <w:rFonts w:ascii="Work Sans" w:eastAsia="Work Sans" w:hAnsi="Work Sans" w:cs="Work Sans"/>
          <w:b/>
        </w:rPr>
        <w:t>Buena fe objetiva</w:t>
      </w:r>
    </w:p>
    <w:p w14:paraId="2099C72A" w14:textId="77777777" w:rsidR="003E4002" w:rsidRPr="003E4002" w:rsidRDefault="003E4002" w:rsidP="003E4002">
      <w:pPr>
        <w:pBdr>
          <w:top w:val="nil"/>
          <w:left w:val="nil"/>
          <w:bottom w:val="nil"/>
          <w:right w:val="nil"/>
          <w:between w:val="nil"/>
        </w:pBdr>
        <w:spacing w:line="360" w:lineRule="auto"/>
        <w:ind w:left="720"/>
        <w:jc w:val="both"/>
        <w:rPr>
          <w:rFonts w:ascii="Work Sans" w:eastAsia="Work Sans" w:hAnsi="Work Sans" w:cs="Work Sans"/>
        </w:rPr>
      </w:pPr>
    </w:p>
    <w:p w14:paraId="467A599E" w14:textId="77777777" w:rsidR="003E4002" w:rsidRPr="002972F1" w:rsidRDefault="003E4002" w:rsidP="003E4002">
      <w:pPr>
        <w:spacing w:before="120" w:after="120" w:line="360" w:lineRule="auto"/>
        <w:jc w:val="both"/>
        <w:rPr>
          <w:rFonts w:ascii="Work Sans" w:eastAsia="Work Sans" w:hAnsi="Work Sans" w:cs="Work Sans"/>
        </w:rPr>
      </w:pPr>
      <w:r w:rsidRPr="002972F1">
        <w:rPr>
          <w:rFonts w:ascii="Work Sans" w:eastAsia="Work Sans" w:hAnsi="Work Sans" w:cs="Work Sans"/>
        </w:rPr>
        <w:t>El artículo 83 de la Constitución Política dispone:</w:t>
      </w:r>
    </w:p>
    <w:p w14:paraId="5ECCE78D" w14:textId="77777777" w:rsidR="003E4002" w:rsidRPr="003E4002" w:rsidRDefault="003E4002" w:rsidP="003E4002">
      <w:pPr>
        <w:spacing w:before="120" w:after="120" w:line="360" w:lineRule="auto"/>
        <w:ind w:left="426" w:right="332"/>
        <w:jc w:val="both"/>
        <w:rPr>
          <w:rFonts w:ascii="Work Sans" w:eastAsia="Work Sans" w:hAnsi="Work Sans" w:cs="Work Sans"/>
        </w:rPr>
      </w:pPr>
      <w:r w:rsidRPr="003E4002">
        <w:rPr>
          <w:rFonts w:ascii="Work Sans" w:eastAsia="Work Sans" w:hAnsi="Work Sans" w:cs="Work Sans"/>
        </w:rPr>
        <w:t>“Las actuaciones de los particulares y de las autoridades públicas deberán ceñirse a los postulados de la buena fe, la cual se presumirá en todas las gestiones que aquellos adelanten ante éstas.”</w:t>
      </w:r>
    </w:p>
    <w:p w14:paraId="75DBEE4D" w14:textId="77777777" w:rsidR="003E4002" w:rsidRPr="002972F1" w:rsidRDefault="003E4002" w:rsidP="003E4002">
      <w:pPr>
        <w:spacing w:before="120" w:after="120" w:line="360" w:lineRule="auto"/>
        <w:jc w:val="both"/>
        <w:rPr>
          <w:rFonts w:ascii="Work Sans" w:eastAsia="Work Sans" w:hAnsi="Work Sans" w:cs="Work Sans"/>
        </w:rPr>
      </w:pPr>
      <w:r w:rsidRPr="002972F1">
        <w:rPr>
          <w:rFonts w:ascii="Work Sans" w:eastAsia="Work Sans" w:hAnsi="Work Sans" w:cs="Work Sans"/>
        </w:rPr>
        <w:lastRenderedPageBreak/>
        <w:t>La buena fe objetiva ha recibido un desarrollo amplio y reiterado por parte del Consejo de Estado, especialmente en la Sección Tercera, donde se ha precisado que este principio constituye un estándar de conducta exigible a las partes durante toda la vida del contrato estatal.</w:t>
      </w:r>
    </w:p>
    <w:p w14:paraId="1151F743" w14:textId="77777777" w:rsidR="003E4002" w:rsidRPr="002972F1" w:rsidRDefault="003E4002" w:rsidP="003E4002">
      <w:pPr>
        <w:spacing w:before="120" w:after="120" w:line="360" w:lineRule="auto"/>
        <w:jc w:val="both"/>
        <w:rPr>
          <w:rFonts w:ascii="Work Sans" w:eastAsia="Work Sans" w:hAnsi="Work Sans" w:cs="Work Sans"/>
        </w:rPr>
      </w:pPr>
      <w:r w:rsidRPr="002972F1">
        <w:rPr>
          <w:rFonts w:ascii="Work Sans" w:eastAsia="Work Sans" w:hAnsi="Work Sans" w:cs="Work Sans"/>
        </w:rPr>
        <w:t>En ese sentido, la Sección Tercera, Subsección B, Exp. 11001-03-26-000-2010-00062-00 (39495) ha sostenido que la buena fe objetiva:</w:t>
      </w:r>
    </w:p>
    <w:p w14:paraId="10877F6A" w14:textId="77777777" w:rsidR="003E4002" w:rsidRPr="0029379B" w:rsidRDefault="003E4002" w:rsidP="003E4002">
      <w:pPr>
        <w:spacing w:before="120" w:after="120" w:line="360" w:lineRule="auto"/>
        <w:ind w:left="426" w:right="332"/>
        <w:jc w:val="both"/>
        <w:rPr>
          <w:rFonts w:ascii="Work Sans" w:eastAsia="Work Sans" w:hAnsi="Work Sans" w:cs="Work Sans"/>
        </w:rPr>
      </w:pPr>
      <w:r w:rsidRPr="0029379B">
        <w:rPr>
          <w:rFonts w:ascii="Work Sans" w:eastAsia="Work Sans" w:hAnsi="Work Sans" w:cs="Work Sans"/>
        </w:rPr>
        <w:t>“consiste fundamentalmente en respetar en su esencia lo pactado, en cumplir las obligaciones derivadas del acuerdo, en perseverar en la ejecución de lo convenido, en observar cabalmente el deber de informar a la otra parte y, en fin, en desplegar un comportamiento que convenga a la realización y ejecución del contrato, sin olvidar que el interés del otro contratante también debe cumplirse y cuya satisfacción depende en buena medida de la lealtad y corrección de la conducta</w:t>
      </w:r>
      <w:r>
        <w:rPr>
          <w:rFonts w:ascii="Work Sans" w:eastAsia="Work Sans" w:hAnsi="Work Sans" w:cs="Work Sans"/>
        </w:rPr>
        <w:t xml:space="preserve"> </w:t>
      </w:r>
      <w:r w:rsidRPr="0029379B">
        <w:rPr>
          <w:rFonts w:ascii="Work Sans" w:eastAsia="Work Sans" w:hAnsi="Work Sans" w:cs="Work Sans"/>
        </w:rPr>
        <w:t>propia”</w:t>
      </w:r>
      <w:r w:rsidRPr="0029379B">
        <w:rPr>
          <w:rFonts w:ascii="Work Sans" w:eastAsia="Work Sans" w:hAnsi="Work Sans" w:cs="Work Sans"/>
        </w:rPr>
        <w:footnoteReference w:id="3"/>
      </w:r>
      <w:r w:rsidRPr="0029379B">
        <w:rPr>
          <w:rFonts w:ascii="Work Sans" w:eastAsia="Work Sans" w:hAnsi="Work Sans" w:cs="Work Sans"/>
        </w:rPr>
        <w:br/>
      </w:r>
    </w:p>
    <w:p w14:paraId="392FB038" w14:textId="77777777" w:rsidR="003E4002" w:rsidRPr="002972F1" w:rsidRDefault="003E4002" w:rsidP="003E4002">
      <w:pPr>
        <w:spacing w:before="120" w:after="120" w:line="360" w:lineRule="auto"/>
        <w:jc w:val="both"/>
        <w:rPr>
          <w:rFonts w:ascii="Work Sans" w:eastAsia="Work Sans" w:hAnsi="Work Sans" w:cs="Work Sans"/>
        </w:rPr>
      </w:pPr>
      <w:r w:rsidRPr="002972F1">
        <w:rPr>
          <w:rFonts w:ascii="Work Sans" w:eastAsia="Work Sans" w:hAnsi="Work Sans" w:cs="Work Sans"/>
        </w:rPr>
        <w:t>A su vez, la Sentencia de Unificación del 28 de agosto de 2013 (Exp. 73001-23-31-000-2000-03075-01) reiteró que en materia contractual:</w:t>
      </w:r>
    </w:p>
    <w:p w14:paraId="75881C59" w14:textId="77777777" w:rsidR="003E4002" w:rsidRPr="003E4002" w:rsidRDefault="003E4002" w:rsidP="003E4002">
      <w:pPr>
        <w:spacing w:before="120" w:after="120" w:line="360" w:lineRule="auto"/>
        <w:ind w:left="567" w:right="191"/>
        <w:jc w:val="both"/>
        <w:rPr>
          <w:rFonts w:ascii="Work Sans" w:eastAsia="Work Sans" w:hAnsi="Work Sans" w:cs="Work Sans"/>
        </w:rPr>
      </w:pPr>
      <w:r w:rsidRPr="003E4002">
        <w:rPr>
          <w:rFonts w:ascii="Work Sans" w:eastAsia="Work Sans" w:hAnsi="Work Sans" w:cs="Work Sans"/>
        </w:rPr>
        <w:t>“la buena fe relevante es la buena fe objetiva, pues en sede negocial no interesa la convicción interna de las partes sobre la licitud de su conducta buena fe subjetiva, sino el comportamiento real y verificable que demuestre diligencia, lealtad, corrección y la efectiva disposición a cumplir y ejecutar el contrato conforme a lo pactado y a las solemnidades exigidas por la ley.”</w:t>
      </w:r>
    </w:p>
    <w:p w14:paraId="01B47188" w14:textId="77777777" w:rsidR="003E4002" w:rsidRPr="002972F1" w:rsidRDefault="003E4002" w:rsidP="003E4002">
      <w:pPr>
        <w:spacing w:before="120" w:after="120" w:line="360" w:lineRule="auto"/>
        <w:jc w:val="both"/>
        <w:rPr>
          <w:rFonts w:ascii="Work Sans" w:eastAsia="Work Sans" w:hAnsi="Work Sans" w:cs="Work Sans"/>
        </w:rPr>
      </w:pPr>
      <w:r w:rsidRPr="002972F1">
        <w:rPr>
          <w:rFonts w:ascii="Work Sans" w:eastAsia="Work Sans" w:hAnsi="Work Sans" w:cs="Work Sans"/>
        </w:rPr>
        <w:t xml:space="preserve">Bajo este marco jurisprudencial, la valoración de las actuaciones debe hacerse atendiendo al comportamiento desplegado por las partes y a la diligencia demostrada para asegurar la ejecución del contrato. Así, cuando la entidad identifica una inconsistencia como la tardía expedición del RP y adelanta </w:t>
      </w:r>
      <w:r w:rsidRPr="002972F1">
        <w:rPr>
          <w:rFonts w:ascii="Work Sans" w:eastAsia="Work Sans" w:hAnsi="Work Sans" w:cs="Work Sans"/>
        </w:rPr>
        <w:lastRenderedPageBreak/>
        <w:t xml:space="preserve">de manera inmediata las gestiones necesarias para corregirla, se evidencia el cumplimiento del estándar de buena fe objetiva. </w:t>
      </w:r>
    </w:p>
    <w:p w14:paraId="027410CD" w14:textId="77777777" w:rsidR="003E4002" w:rsidRPr="002972F1" w:rsidRDefault="003E4002" w:rsidP="003E4002">
      <w:pPr>
        <w:spacing w:before="120" w:after="120" w:line="360" w:lineRule="auto"/>
        <w:jc w:val="both"/>
        <w:rPr>
          <w:rFonts w:ascii="Work Sans" w:eastAsia="Work Sans" w:hAnsi="Work Sans" w:cs="Work Sans"/>
        </w:rPr>
      </w:pPr>
      <w:r w:rsidRPr="002972F1">
        <w:rPr>
          <w:rFonts w:ascii="Work Sans" w:eastAsia="Work Sans" w:hAnsi="Work Sans" w:cs="Work Sans"/>
        </w:rPr>
        <w:t xml:space="preserve">En este caso, la entidad realizó las gestiones necesarias para obtener el RP una vez identificado el error involuntario, lo que evidencia la intención institucional de corregir oportunamente la situación y a fin de garantizar el reconocimiento de las actividades ejecutadas por la contratista desde el 16 de octubre de 2025. En esa medida, resulta procedente reconocer el pago total a la contratista </w:t>
      </w:r>
      <w:r w:rsidRPr="003E4002">
        <w:rPr>
          <w:rFonts w:ascii="Work Sans" w:eastAsia="Work Sans" w:hAnsi="Work Sans" w:cs="Work Sans"/>
        </w:rPr>
        <w:t>YURI ANDREA ALARCÓN RODRÍGUEZ</w:t>
      </w:r>
      <w:r w:rsidRPr="002972F1">
        <w:rPr>
          <w:rFonts w:ascii="Work Sans" w:eastAsia="Work Sans" w:hAnsi="Work Sans" w:cs="Work Sans"/>
        </w:rPr>
        <w:t>, puesto que la actuación no se enmarca en un incumplimiento doloso por parte del Ministerio de Minas y Energía, sino en un error susceptible de ser saneado conforme al principio de buena fe objetiva y al carácter no esencial del Registro Presupuestal dentro de la formación del vínculo contractual.</w:t>
      </w:r>
    </w:p>
    <w:p w14:paraId="39B54A43" w14:textId="77777777" w:rsidR="003E4002" w:rsidRPr="003E4002" w:rsidRDefault="003E4002" w:rsidP="003E4002">
      <w:pPr>
        <w:spacing w:before="120" w:after="120" w:line="360" w:lineRule="auto"/>
        <w:jc w:val="both"/>
        <w:rPr>
          <w:rFonts w:ascii="Work Sans" w:eastAsia="Work Sans" w:hAnsi="Work Sans" w:cs="Work Sans"/>
        </w:rPr>
      </w:pPr>
      <w:r w:rsidRPr="002972F1">
        <w:rPr>
          <w:rFonts w:ascii="Work Sans" w:eastAsia="Work Sans" w:hAnsi="Work Sans" w:cs="Work Sans"/>
        </w:rPr>
        <w:t>En consecuencia, y teniendo en cuenta que la buena fe objetiva exige adoptar las medidas necesarias para evitar afectaciones injustificadas a las partes, es procedente el saneamiento mediante acto administrativo que permita efectuar el pago de los días en que la contratista ejecutó las actividades propias del contrato de prestación de servicios. Lo anterior se fundamenta en que dichas labores se realizaron en el marco de un vínculo contractual plenamente válido, respaldado por una apropiación presupuestal cierta, existente y previamente comprometida, lo cual habilita la corrección administrativa.</w:t>
      </w:r>
    </w:p>
    <w:p w14:paraId="37E65E5D" w14:textId="1BBED9AC" w:rsidR="003E4002" w:rsidRPr="003E4002" w:rsidRDefault="003E4002" w:rsidP="003E4002">
      <w:pPr>
        <w:spacing w:before="120" w:after="120" w:line="360" w:lineRule="auto"/>
        <w:jc w:val="both"/>
        <w:rPr>
          <w:rFonts w:ascii="Work Sans" w:eastAsia="Work Sans" w:hAnsi="Work Sans" w:cs="Work Sans"/>
        </w:rPr>
      </w:pPr>
    </w:p>
    <w:p w14:paraId="03B164B1" w14:textId="77777777" w:rsidR="003E4002" w:rsidRPr="003E4002" w:rsidRDefault="003E4002" w:rsidP="003E4002">
      <w:pPr>
        <w:spacing w:before="120" w:after="120" w:line="360" w:lineRule="auto"/>
        <w:jc w:val="both"/>
        <w:rPr>
          <w:rFonts w:ascii="Work Sans" w:eastAsia="Work Sans" w:hAnsi="Work Sans" w:cs="Work Sans"/>
        </w:rPr>
      </w:pPr>
    </w:p>
    <w:p w14:paraId="35AB5113" w14:textId="77777777" w:rsidR="003E4002" w:rsidRPr="003E4002" w:rsidRDefault="003E4002" w:rsidP="003E4002">
      <w:pPr>
        <w:pStyle w:val="Prrafodelista"/>
        <w:numPr>
          <w:ilvl w:val="1"/>
          <w:numId w:val="1"/>
        </w:numPr>
        <w:pBdr>
          <w:top w:val="nil"/>
          <w:left w:val="nil"/>
          <w:bottom w:val="nil"/>
          <w:right w:val="nil"/>
          <w:between w:val="nil"/>
        </w:pBdr>
        <w:spacing w:before="120" w:after="120" w:line="480" w:lineRule="auto"/>
        <w:contextualSpacing w:val="0"/>
        <w:jc w:val="both"/>
        <w:rPr>
          <w:rFonts w:ascii="Work Sans" w:eastAsia="Work Sans" w:hAnsi="Work Sans" w:cs="Work Sans"/>
          <w:b/>
          <w:sz w:val="22"/>
          <w:szCs w:val="22"/>
          <w:lang w:eastAsia="en-US"/>
        </w:rPr>
      </w:pPr>
      <w:r w:rsidRPr="003E4002">
        <w:rPr>
          <w:rFonts w:ascii="Work Sans" w:eastAsia="Work Sans" w:hAnsi="Work Sans" w:cs="Work Sans"/>
          <w:b/>
          <w:sz w:val="22"/>
          <w:szCs w:val="22"/>
          <w:lang w:eastAsia="en-US"/>
        </w:rPr>
        <w:t xml:space="preserve">Procedencia del  Acto Administrativo de Saneamiento </w:t>
      </w:r>
    </w:p>
    <w:p w14:paraId="085221FE" w14:textId="77777777" w:rsidR="003E4002" w:rsidRPr="003E4002" w:rsidRDefault="003E4002" w:rsidP="003E4002">
      <w:pPr>
        <w:pBdr>
          <w:top w:val="nil"/>
          <w:left w:val="nil"/>
          <w:bottom w:val="nil"/>
          <w:right w:val="nil"/>
          <w:between w:val="nil"/>
        </w:pBdr>
        <w:spacing w:before="120" w:after="120" w:line="480" w:lineRule="auto"/>
        <w:jc w:val="both"/>
        <w:rPr>
          <w:rFonts w:ascii="Work Sans" w:eastAsia="Work Sans" w:hAnsi="Work Sans" w:cs="Work Sans"/>
        </w:rPr>
      </w:pPr>
    </w:p>
    <w:p w14:paraId="51EEC9D1"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 xml:space="preserve">En el contrato </w:t>
      </w:r>
      <w:r w:rsidRPr="003E4002">
        <w:rPr>
          <w:rFonts w:ascii="Work Sans" w:eastAsia="Work Sans" w:hAnsi="Work Sans" w:cs="Work Sans"/>
        </w:rPr>
        <w:t>No. GGC-1435-2025</w:t>
      </w:r>
      <w:r w:rsidRPr="002972F1">
        <w:rPr>
          <w:rFonts w:ascii="Work Sans" w:eastAsia="Work Sans" w:hAnsi="Work Sans" w:cs="Work Sans"/>
        </w:rPr>
        <w:t xml:space="preserve"> no se configura ninguna de las causales de nulidad absoluta previstas en los artículos 44 y 45 de la Ley 80 de 1993.</w:t>
      </w:r>
    </w:p>
    <w:p w14:paraId="50C127C6" w14:textId="77777777" w:rsidR="003E4002" w:rsidRPr="003E4002" w:rsidRDefault="003E4002" w:rsidP="003E4002">
      <w:pPr>
        <w:spacing w:before="120" w:after="120" w:line="480" w:lineRule="auto"/>
        <w:ind w:left="426" w:right="332"/>
        <w:jc w:val="both"/>
        <w:rPr>
          <w:rFonts w:ascii="Work Sans" w:eastAsia="Work Sans" w:hAnsi="Work Sans" w:cs="Work Sans"/>
        </w:rPr>
      </w:pPr>
      <w:r w:rsidRPr="003E4002">
        <w:rPr>
          <w:rFonts w:ascii="Work Sans" w:eastAsia="Work Sans" w:hAnsi="Work Sans" w:cs="Work Sans"/>
        </w:rPr>
        <w:lastRenderedPageBreak/>
        <w:t>El artículo 44 ibídem establece las eventos en los que un contrato estatal es absolutamente nulo, entre ellos: (i) su celebración con personas incursas en inhabilidades o incompatibilidades; (ii) su celebración contra expresa prohibición constitucional o legal; (iii) la existencia de abuso o desviación de poder; (iv) la declaratoria de nulidad de los actos administrativos que le sirven de fundamento; y (v) la vulneración de los criterios previstos en el artículo 21 de la misma ley relativos al tratamiento de ofertas nacionales y extranjeras.</w:t>
      </w:r>
    </w:p>
    <w:p w14:paraId="1D1FB066" w14:textId="77777777" w:rsidR="003E4002" w:rsidRPr="003E4002" w:rsidRDefault="003E4002" w:rsidP="003E4002">
      <w:pPr>
        <w:spacing w:before="280" w:after="280" w:line="480" w:lineRule="auto"/>
        <w:ind w:left="426" w:right="332"/>
        <w:jc w:val="both"/>
        <w:rPr>
          <w:rFonts w:ascii="Work Sans" w:eastAsia="Work Sans" w:hAnsi="Work Sans" w:cs="Work Sans"/>
        </w:rPr>
      </w:pPr>
      <w:r w:rsidRPr="003E4002">
        <w:rPr>
          <w:rFonts w:ascii="Work Sans" w:eastAsia="Work Sans" w:hAnsi="Work Sans" w:cs="Work Sans"/>
        </w:rPr>
        <w:t>Por su parte, el artículo 45 señala que la nulidad absoluta no es susceptible de sanción y puede ser alegada por las partes, el Ministerio Público o cualquier persona, o declarada de oficio.</w:t>
      </w:r>
    </w:p>
    <w:p w14:paraId="63BEE7E2"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En el caso concreto, la irregularidad advertida corresponde exclusivamente a un defecto de trámite derivado de un error involuntario en la etapa contractual, el cual no afecta la existencia, validez ni perfeccionamiento del contrato. Ello se ajusta a la jurisprudencia reiterada del Consejo de Estado, que ha precisado que el RP no constituye un requisito de existencia del contrato, sino un presupuesto para su ejecución.</w:t>
      </w:r>
    </w:p>
    <w:p w14:paraId="2DD2B719"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En relación con la naturaleza y finalidad del RP, la Sección Tercera, Subsección C del Consejo de Estado, en sentencia del 5 de junio de 2014, Rad. 05001-23-31-000-1998-01350-01 (28565), afirmó:</w:t>
      </w:r>
    </w:p>
    <w:p w14:paraId="07C70670" w14:textId="77777777" w:rsidR="003E4002" w:rsidRPr="003E4002" w:rsidRDefault="003E4002" w:rsidP="003E4002">
      <w:pPr>
        <w:spacing w:before="120" w:after="120" w:line="480" w:lineRule="auto"/>
        <w:ind w:left="567" w:right="332"/>
        <w:jc w:val="both"/>
        <w:rPr>
          <w:rFonts w:ascii="Work Sans" w:eastAsia="Work Sans" w:hAnsi="Work Sans" w:cs="Work Sans"/>
        </w:rPr>
      </w:pPr>
      <w:r w:rsidRPr="003E4002">
        <w:rPr>
          <w:rFonts w:ascii="Work Sans" w:eastAsia="Work Sans" w:hAnsi="Work Sans" w:cs="Work Sans"/>
        </w:rPr>
        <w:t xml:space="preserve">“El registro presupuestal garantiza las apropiaciones específicas para afectar un negocio jurídico concreto: su precio, un contratista identificado y un plazo de ejecución. […] El artículo 20 del Decreto 111 de 1996 lo define como la operación mediante la cual se perfecciona el compromiso </w:t>
      </w:r>
      <w:r w:rsidRPr="003E4002">
        <w:rPr>
          <w:rFonts w:ascii="Work Sans" w:eastAsia="Work Sans" w:hAnsi="Work Sans" w:cs="Work Sans"/>
        </w:rPr>
        <w:lastRenderedPageBreak/>
        <w:t>y se afecta en forma definitiva la apropiación, garantizando que esta no será desviada a ningún otro fin. Por su naturaleza, los recursos reservados para pagar las prestaciones de un contrato, a un contratista identificado, no pueden emplearse para pagar otro contrato”.</w:t>
      </w:r>
    </w:p>
    <w:p w14:paraId="794EADAF"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Lo anterior confirma que la ausencia temporal o expedición tardía del Registro Presupuestal no configura causal de nulidad del contrato, sino un error subsanable de carácter procedimental.</w:t>
      </w:r>
    </w:p>
    <w:p w14:paraId="5A69F8DA"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En esa medida, resulta jurídicamente procedente acudir a la figura del saneamiento prevista en el artículo 49 de la Ley 80 de 1993, que dispone:</w:t>
      </w:r>
    </w:p>
    <w:p w14:paraId="2E7C9ACA" w14:textId="77777777" w:rsidR="003E4002" w:rsidRPr="003E4002" w:rsidRDefault="003E4002" w:rsidP="003E4002">
      <w:pPr>
        <w:spacing w:before="120" w:after="120" w:line="480" w:lineRule="auto"/>
        <w:ind w:left="567" w:right="332"/>
        <w:jc w:val="both"/>
        <w:rPr>
          <w:rFonts w:ascii="Work Sans" w:eastAsia="Work Sans" w:hAnsi="Work Sans" w:cs="Work Sans"/>
        </w:rPr>
      </w:pPr>
      <w:r w:rsidRPr="003E4002">
        <w:rPr>
          <w:rFonts w:ascii="Work Sans" w:eastAsia="Work Sans" w:hAnsi="Work Sans" w:cs="Work Sans"/>
        </w:rPr>
        <w:t>“Ante la ocurrencia de vicios que no constituyan causales de nulidad y cuando las necesidades del servicio lo exijan o las reglas de la buena administración lo aconsejen, el jefe o representante legal de la entidad, en acto motivado, podrá sanear el correspondiente vicio”.</w:t>
      </w:r>
    </w:p>
    <w:p w14:paraId="7D4AF7D1" w14:textId="77777777" w:rsidR="003E4002" w:rsidRPr="002972F1" w:rsidRDefault="003E4002" w:rsidP="003E4002">
      <w:pPr>
        <w:spacing w:before="120" w:after="120" w:line="480" w:lineRule="auto"/>
        <w:jc w:val="both"/>
        <w:rPr>
          <w:rFonts w:ascii="Work Sans" w:eastAsia="Work Sans" w:hAnsi="Work Sans" w:cs="Work Sans"/>
        </w:rPr>
      </w:pPr>
      <w:bookmarkStart w:id="1" w:name="_heading=h.4pb9ui8kksgn" w:colFirst="0" w:colLast="0"/>
      <w:bookmarkEnd w:id="1"/>
      <w:r w:rsidRPr="002972F1">
        <w:rPr>
          <w:rFonts w:ascii="Work Sans" w:eastAsia="Work Sans" w:hAnsi="Work Sans" w:cs="Work Sans"/>
        </w:rPr>
        <w:t>Bajo este marco normativo y jurisprudencial, y atendiendo a los principios de buena fe, eficacia y responsabilidad que orientan la función administrativa conforme al artículo 209 de la Constitución Política, es procedente sanear el defecto de trámite ocasionado por el error involuntario en la no expedición y gestión del Registro Presupuestal oportuno, garantizando así la protección de los derechos de la contratista, quien no puede resultar afectada por errores administrativos ajenos a su actuación.</w:t>
      </w:r>
    </w:p>
    <w:p w14:paraId="40121538"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La interpretación de este precepto ha sido reiterada por la Agencia Nacional de Contratación Pública –Colombia Compra Eficiente en el Concepto C-041 de 2025, en el que se precisó:</w:t>
      </w:r>
    </w:p>
    <w:p w14:paraId="10C4EEC5" w14:textId="77777777" w:rsidR="003E4002" w:rsidRPr="003E4002" w:rsidRDefault="003E4002" w:rsidP="003E4002">
      <w:pPr>
        <w:spacing w:before="120" w:after="120" w:line="480" w:lineRule="auto"/>
        <w:ind w:left="426" w:right="332"/>
        <w:jc w:val="both"/>
        <w:rPr>
          <w:rFonts w:ascii="Work Sans" w:eastAsia="Work Sans" w:hAnsi="Work Sans" w:cs="Work Sans"/>
        </w:rPr>
      </w:pPr>
      <w:r w:rsidRPr="003E4002">
        <w:rPr>
          <w:rFonts w:ascii="Work Sans" w:eastAsia="Work Sans" w:hAnsi="Work Sans" w:cs="Work Sans"/>
        </w:rPr>
        <w:lastRenderedPageBreak/>
        <w:t>“La Ley 80 de 1993 otorga una autorización a las entidades estatales para remediar o corregir aquellos defectos o irregularidades de procedimiento o de forma que no constituyen causales de nulidad del contrato, a través de la figura del saneamiento prevista en el artículo 49”.</w:t>
      </w:r>
    </w:p>
    <w:p w14:paraId="6E08C4D8" w14:textId="77777777" w:rsidR="003E4002" w:rsidRPr="002972F1"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De acuerdo con dicho concepto, para la procedencia del saneamiento deben verificarse los siguientes requisitos:</w:t>
      </w:r>
    </w:p>
    <w:p w14:paraId="61748508" w14:textId="77777777" w:rsidR="003E4002" w:rsidRPr="003E4002" w:rsidRDefault="003E4002" w:rsidP="003E4002">
      <w:pPr>
        <w:pStyle w:val="Prrafodelista"/>
        <w:numPr>
          <w:ilvl w:val="3"/>
          <w:numId w:val="2"/>
        </w:numPr>
        <w:spacing w:before="120" w:after="120" w:line="480" w:lineRule="auto"/>
        <w:ind w:left="851" w:hanging="284"/>
        <w:contextualSpacing w:val="0"/>
        <w:jc w:val="both"/>
        <w:rPr>
          <w:rFonts w:ascii="Work Sans" w:eastAsia="Work Sans" w:hAnsi="Work Sans" w:cs="Work Sans"/>
          <w:sz w:val="22"/>
          <w:szCs w:val="22"/>
          <w:lang w:eastAsia="en-US"/>
        </w:rPr>
      </w:pPr>
      <w:r w:rsidRPr="003E4002">
        <w:rPr>
          <w:rFonts w:ascii="Work Sans" w:eastAsia="Work Sans" w:hAnsi="Work Sans" w:cs="Work Sans"/>
          <w:sz w:val="22"/>
          <w:szCs w:val="22"/>
          <w:lang w:eastAsia="en-US"/>
        </w:rPr>
        <w:t>Que el vicio sea de procedimiento o de forma, lo cual implica que no es posible sanear vicios de fondo o sustanciales.</w:t>
      </w:r>
    </w:p>
    <w:p w14:paraId="4E2079C5" w14:textId="77777777" w:rsidR="003E4002" w:rsidRPr="003E4002" w:rsidRDefault="003E4002" w:rsidP="003E4002">
      <w:pPr>
        <w:pStyle w:val="Prrafodelista"/>
        <w:numPr>
          <w:ilvl w:val="3"/>
          <w:numId w:val="2"/>
        </w:numPr>
        <w:spacing w:before="120" w:after="120" w:line="480" w:lineRule="auto"/>
        <w:ind w:left="851" w:hanging="284"/>
        <w:contextualSpacing w:val="0"/>
        <w:jc w:val="both"/>
        <w:rPr>
          <w:rFonts w:ascii="Work Sans" w:eastAsia="Work Sans" w:hAnsi="Work Sans" w:cs="Work Sans"/>
          <w:sz w:val="22"/>
          <w:szCs w:val="22"/>
          <w:lang w:eastAsia="en-US"/>
        </w:rPr>
      </w:pPr>
      <w:r w:rsidRPr="003E4002">
        <w:rPr>
          <w:rFonts w:ascii="Work Sans" w:eastAsia="Work Sans" w:hAnsi="Work Sans" w:cs="Work Sans"/>
          <w:sz w:val="22"/>
          <w:szCs w:val="22"/>
          <w:lang w:eastAsia="en-US"/>
        </w:rPr>
        <w:t>Que el vicio no corresponda a ninguna causal de nulidad, ni absoluta ni relativa, del contrato estatal.</w:t>
      </w:r>
    </w:p>
    <w:p w14:paraId="4EEC49B1" w14:textId="77777777" w:rsidR="003E4002" w:rsidRPr="003E4002" w:rsidRDefault="003E4002" w:rsidP="003E4002">
      <w:pPr>
        <w:pStyle w:val="Prrafodelista"/>
        <w:numPr>
          <w:ilvl w:val="3"/>
          <w:numId w:val="2"/>
        </w:numPr>
        <w:spacing w:before="120" w:after="120" w:line="480" w:lineRule="auto"/>
        <w:ind w:left="851" w:hanging="284"/>
        <w:contextualSpacing w:val="0"/>
        <w:jc w:val="both"/>
        <w:rPr>
          <w:rFonts w:ascii="Work Sans" w:eastAsia="Work Sans" w:hAnsi="Work Sans" w:cs="Work Sans"/>
          <w:sz w:val="22"/>
          <w:szCs w:val="22"/>
          <w:lang w:eastAsia="en-US"/>
        </w:rPr>
      </w:pPr>
      <w:r w:rsidRPr="003E4002">
        <w:rPr>
          <w:rFonts w:ascii="Work Sans" w:eastAsia="Work Sans" w:hAnsi="Work Sans" w:cs="Work Sans"/>
          <w:sz w:val="22"/>
          <w:szCs w:val="22"/>
          <w:lang w:eastAsia="en-US"/>
        </w:rPr>
        <w:t>Que el saneamiento se realice mediante acto administrativo debidamente motivado.</w:t>
      </w:r>
    </w:p>
    <w:p w14:paraId="59D3DDF2" w14:textId="77777777" w:rsidR="003E4002" w:rsidRPr="003E4002" w:rsidRDefault="003E4002" w:rsidP="003E4002">
      <w:pPr>
        <w:pStyle w:val="Prrafodelista"/>
        <w:numPr>
          <w:ilvl w:val="3"/>
          <w:numId w:val="2"/>
        </w:numPr>
        <w:spacing w:before="120" w:after="120" w:line="480" w:lineRule="auto"/>
        <w:ind w:left="851" w:hanging="284"/>
        <w:contextualSpacing w:val="0"/>
        <w:jc w:val="both"/>
        <w:rPr>
          <w:rFonts w:ascii="Work Sans" w:eastAsia="Work Sans" w:hAnsi="Work Sans" w:cs="Work Sans"/>
          <w:sz w:val="22"/>
          <w:szCs w:val="22"/>
          <w:lang w:eastAsia="en-US"/>
        </w:rPr>
      </w:pPr>
      <w:r w:rsidRPr="003E4002">
        <w:rPr>
          <w:rFonts w:ascii="Work Sans" w:eastAsia="Work Sans" w:hAnsi="Work Sans" w:cs="Work Sans"/>
          <w:sz w:val="22"/>
          <w:szCs w:val="22"/>
          <w:lang w:eastAsia="en-US"/>
        </w:rPr>
        <w:t>Que sea adelantado por el funcionario competente, esto es, el jefe de la entidad o su representante legal.</w:t>
      </w:r>
    </w:p>
    <w:p w14:paraId="2FF6742B" w14:textId="77777777" w:rsidR="003E4002" w:rsidRPr="003E4002" w:rsidRDefault="003E4002" w:rsidP="003E4002">
      <w:pPr>
        <w:pStyle w:val="Prrafodelista"/>
        <w:numPr>
          <w:ilvl w:val="3"/>
          <w:numId w:val="2"/>
        </w:numPr>
        <w:spacing w:before="120" w:after="120" w:line="480" w:lineRule="auto"/>
        <w:ind w:left="851" w:hanging="284"/>
        <w:contextualSpacing w:val="0"/>
        <w:jc w:val="both"/>
        <w:rPr>
          <w:rFonts w:ascii="Work Sans" w:eastAsia="Work Sans" w:hAnsi="Work Sans" w:cs="Work Sans"/>
          <w:sz w:val="22"/>
          <w:szCs w:val="22"/>
          <w:lang w:eastAsia="en-US"/>
        </w:rPr>
      </w:pPr>
      <w:r w:rsidRPr="003E4002">
        <w:rPr>
          <w:rFonts w:ascii="Work Sans" w:eastAsia="Work Sans" w:hAnsi="Work Sans" w:cs="Work Sans"/>
          <w:sz w:val="22"/>
          <w:szCs w:val="22"/>
          <w:lang w:eastAsia="en-US"/>
        </w:rPr>
        <w:t>Que las necesidades del servicio o las reglas de la buena administración justifiquen su aplicación.</w:t>
      </w:r>
    </w:p>
    <w:p w14:paraId="1CD354A3" w14:textId="77777777" w:rsidR="003E4002" w:rsidRPr="003E4002" w:rsidRDefault="003E4002" w:rsidP="003E4002">
      <w:pPr>
        <w:spacing w:before="120" w:after="120" w:line="480" w:lineRule="auto"/>
        <w:jc w:val="both"/>
        <w:rPr>
          <w:rFonts w:ascii="Work Sans" w:eastAsia="Work Sans" w:hAnsi="Work Sans" w:cs="Work Sans"/>
        </w:rPr>
      </w:pPr>
      <w:r w:rsidRPr="002972F1">
        <w:rPr>
          <w:rFonts w:ascii="Work Sans" w:eastAsia="Work Sans" w:hAnsi="Work Sans" w:cs="Work Sans"/>
        </w:rPr>
        <w:t>En el presente caso, el error detectado corresponde exclusivamente a un vicio de procedimiento o de forma derivado de un fallo técnico en el flujo de la plataforma NEÓN, que generó la expedición tardía del Registro Presupuestal, con fecha posterior al inicio de las actividades desempeñadas por la contratista. Por tanto, se cumplen los presupuestos para la aplicación de la figura del saneamiento, a fin de proteger la confianza legítima de la contratista y garantizar el pago total del servicio prestado.</w:t>
      </w:r>
    </w:p>
    <w:p w14:paraId="7262C1D6" w14:textId="77777777" w:rsidR="003E4002" w:rsidRPr="003E4002" w:rsidRDefault="003E4002" w:rsidP="003E4002">
      <w:pPr>
        <w:spacing w:line="480" w:lineRule="auto"/>
        <w:jc w:val="both"/>
        <w:rPr>
          <w:rFonts w:ascii="Work Sans" w:eastAsia="Work Sans" w:hAnsi="Work Sans" w:cs="Work Sans"/>
          <w:b/>
        </w:rPr>
      </w:pPr>
    </w:p>
    <w:p w14:paraId="51B319AA" w14:textId="77777777" w:rsidR="003E4002" w:rsidRPr="003E4002" w:rsidRDefault="003E4002" w:rsidP="003E4002">
      <w:pPr>
        <w:numPr>
          <w:ilvl w:val="1"/>
          <w:numId w:val="1"/>
        </w:numPr>
        <w:pBdr>
          <w:top w:val="nil"/>
          <w:left w:val="nil"/>
          <w:bottom w:val="nil"/>
          <w:right w:val="nil"/>
          <w:between w:val="nil"/>
        </w:pBdr>
        <w:suppressAutoHyphens w:val="0"/>
        <w:spacing w:after="0" w:line="480" w:lineRule="auto"/>
        <w:jc w:val="both"/>
        <w:rPr>
          <w:rFonts w:ascii="Work Sans" w:eastAsia="Work Sans" w:hAnsi="Work Sans" w:cs="Work Sans"/>
          <w:b/>
        </w:rPr>
      </w:pPr>
      <w:r w:rsidRPr="003E4002">
        <w:rPr>
          <w:rFonts w:ascii="Work Sans" w:eastAsia="Work Sans" w:hAnsi="Work Sans" w:cs="Work Sans"/>
          <w:b/>
        </w:rPr>
        <w:t xml:space="preserve"> Deber de garantizar el pago de honorarios al contratista </w:t>
      </w:r>
    </w:p>
    <w:p w14:paraId="5EEC7063" w14:textId="77777777" w:rsidR="003E4002" w:rsidRPr="003E4002" w:rsidRDefault="003E4002" w:rsidP="003E4002">
      <w:pPr>
        <w:spacing w:line="480" w:lineRule="auto"/>
        <w:jc w:val="both"/>
        <w:rPr>
          <w:rFonts w:ascii="Work Sans" w:eastAsia="Work Sans" w:hAnsi="Work Sans" w:cs="Work Sans"/>
        </w:rPr>
      </w:pPr>
      <w:r w:rsidRPr="003E4002">
        <w:rPr>
          <w:rFonts w:ascii="Work Sans" w:eastAsia="Work Sans" w:hAnsi="Work Sans" w:cs="Work Sans"/>
        </w:rPr>
        <w:t xml:space="preserve"> </w:t>
      </w:r>
    </w:p>
    <w:p w14:paraId="2FA079CE" w14:textId="77777777" w:rsidR="003E4002" w:rsidRPr="003E4002" w:rsidRDefault="003E4002" w:rsidP="003E4002">
      <w:pPr>
        <w:spacing w:line="480" w:lineRule="auto"/>
        <w:jc w:val="both"/>
        <w:rPr>
          <w:rFonts w:ascii="Work Sans" w:eastAsia="Work Sans" w:hAnsi="Work Sans" w:cs="Work Sans"/>
        </w:rPr>
      </w:pPr>
      <w:r w:rsidRPr="002972F1">
        <w:rPr>
          <w:rFonts w:ascii="Work Sans" w:eastAsia="Work Sans" w:hAnsi="Work Sans" w:cs="Work Sans"/>
        </w:rPr>
        <w:t>De conformidad con lo dispuesto en el Artículo 5º de la Ley 80 de 1993, los contratistas tendrán derecho a:</w:t>
      </w:r>
    </w:p>
    <w:p w14:paraId="3A6DA6A2" w14:textId="77777777" w:rsidR="003E4002" w:rsidRPr="003E4002" w:rsidRDefault="003E4002" w:rsidP="003E4002">
      <w:pPr>
        <w:spacing w:before="280" w:after="280" w:line="480" w:lineRule="auto"/>
        <w:ind w:left="567" w:right="332"/>
        <w:jc w:val="both"/>
        <w:rPr>
          <w:rFonts w:ascii="Work Sans" w:eastAsia="Work Sans" w:hAnsi="Work Sans" w:cs="Work Sans"/>
        </w:rPr>
      </w:pPr>
      <w:r w:rsidRPr="003E4002">
        <w:rPr>
          <w:rFonts w:ascii="Work Sans" w:eastAsia="Work Sans" w:hAnsi="Work Sans" w:cs="Work Sans"/>
        </w:rPr>
        <w:t>“Recibir oportunamente la remuneración pactada, garantizando que el valor intrínseco de la misma no se altere ni modifique durante la vigencia del contrato.”</w:t>
      </w:r>
    </w:p>
    <w:p w14:paraId="1B9E63AE" w14:textId="77777777" w:rsidR="003E4002" w:rsidRPr="002972F1" w:rsidRDefault="003E4002" w:rsidP="003E4002">
      <w:pPr>
        <w:spacing w:before="280" w:after="280" w:line="480" w:lineRule="auto"/>
        <w:jc w:val="both"/>
        <w:rPr>
          <w:rFonts w:ascii="Work Sans" w:eastAsia="Work Sans" w:hAnsi="Work Sans" w:cs="Work Sans"/>
        </w:rPr>
      </w:pPr>
      <w:r w:rsidRPr="002972F1">
        <w:rPr>
          <w:rFonts w:ascii="Work Sans" w:eastAsia="Work Sans" w:hAnsi="Work Sans" w:cs="Work Sans"/>
        </w:rPr>
        <w:t>Teniendo en cuenta que es un derecho del contratista recibir la remuneración por las actividades ejecutadas, la sentencia de la Sección Tercera, Subsección A del Consejo de Estado, Radicación No. 11001-03-06-000-2018-00034-00 (2369), del 10 de junio de 2020, ha reiterado que la administración no puede beneficiarse de la prestación efectiva de servicios sin reconocer la correspondiente contraprestación, aun cuando existan errores administrativos o presupuestales. Esta línea jurisprudencial impone a las entidades públicas, en virtud de los principios de buena fe, equidad y prohibición del enriquecimiento sin causa, la obligación de adoptar soluciones que permitan restablecer el equilibrio contractual y evitar cargas injustificadas para el contratista.</w:t>
      </w:r>
    </w:p>
    <w:p w14:paraId="2662C0FC" w14:textId="77777777" w:rsidR="003E4002" w:rsidRPr="002972F1" w:rsidRDefault="003E4002" w:rsidP="003E4002">
      <w:pPr>
        <w:spacing w:before="280" w:after="280" w:line="360" w:lineRule="auto"/>
        <w:jc w:val="both"/>
        <w:rPr>
          <w:rFonts w:ascii="Work Sans" w:eastAsia="Work Sans" w:hAnsi="Work Sans" w:cs="Work Sans"/>
        </w:rPr>
      </w:pPr>
      <w:r w:rsidRPr="002972F1">
        <w:rPr>
          <w:rFonts w:ascii="Work Sans" w:eastAsia="Work Sans" w:hAnsi="Work Sans" w:cs="Work Sans"/>
        </w:rPr>
        <w:t xml:space="preserve">Asimismo, y teniendo en cuenta que en el presente caso se trata de un </w:t>
      </w:r>
      <w:r w:rsidRPr="003E4002">
        <w:rPr>
          <w:rFonts w:ascii="Work Sans" w:eastAsia="Work Sans" w:hAnsi="Work Sans" w:cs="Work Sans"/>
        </w:rPr>
        <w:t>error involuntario</w:t>
      </w:r>
      <w:r w:rsidRPr="002972F1">
        <w:rPr>
          <w:rFonts w:ascii="Work Sans" w:eastAsia="Work Sans" w:hAnsi="Work Sans" w:cs="Work Sans"/>
        </w:rPr>
        <w:t xml:space="preserve"> asociado a la programación del flujo desde el paso 541 – </w:t>
      </w:r>
      <w:r w:rsidRPr="003E4002">
        <w:rPr>
          <w:rFonts w:ascii="Work Sans" w:eastAsia="Work Sans" w:hAnsi="Work Sans" w:cs="Work Sans"/>
        </w:rPr>
        <w:t>Elaboración de solicitud de cesión</w:t>
      </w:r>
      <w:r w:rsidRPr="002972F1">
        <w:rPr>
          <w:rFonts w:ascii="Work Sans" w:eastAsia="Work Sans" w:hAnsi="Work Sans" w:cs="Work Sans"/>
        </w:rPr>
        <w:t xml:space="preserve">, configurado por el área al momento de gestionar el trámite, el cual generó la expedición tardía del RP, </w:t>
      </w:r>
      <w:r w:rsidRPr="003E4002">
        <w:rPr>
          <w:rFonts w:ascii="Work Sans" w:eastAsia="Work Sans" w:hAnsi="Work Sans" w:cs="Work Sans"/>
        </w:rPr>
        <w:t xml:space="preserve">no resulta procedente </w:t>
      </w:r>
      <w:r w:rsidRPr="003E4002">
        <w:rPr>
          <w:rFonts w:ascii="Work Sans" w:eastAsia="Work Sans" w:hAnsi="Work Sans" w:cs="Work Sans"/>
        </w:rPr>
        <w:lastRenderedPageBreak/>
        <w:t>trasladar al contratista una carga que no está obligado a soportar</w:t>
      </w:r>
      <w:r w:rsidRPr="002972F1">
        <w:rPr>
          <w:rFonts w:ascii="Work Sans" w:eastAsia="Work Sans" w:hAnsi="Work Sans" w:cs="Work Sans"/>
        </w:rPr>
        <w:t xml:space="preserve">, puesto que dicha situación se deriva exclusivamente de un </w:t>
      </w:r>
      <w:r w:rsidRPr="003E4002">
        <w:rPr>
          <w:rFonts w:ascii="Work Sans" w:eastAsia="Work Sans" w:hAnsi="Work Sans" w:cs="Work Sans"/>
        </w:rPr>
        <w:t>error administrativo</w:t>
      </w:r>
      <w:r w:rsidRPr="002972F1">
        <w:rPr>
          <w:rFonts w:ascii="Work Sans" w:eastAsia="Work Sans" w:hAnsi="Work Sans" w:cs="Work Sans"/>
        </w:rPr>
        <w:t>.</w:t>
      </w:r>
    </w:p>
    <w:p w14:paraId="359254EC" w14:textId="77777777" w:rsidR="003E4002" w:rsidRPr="002972F1" w:rsidRDefault="003E4002" w:rsidP="003E4002">
      <w:pPr>
        <w:spacing w:before="280" w:after="280" w:line="360" w:lineRule="auto"/>
        <w:jc w:val="both"/>
        <w:rPr>
          <w:rFonts w:ascii="Work Sans" w:eastAsia="Work Sans" w:hAnsi="Work Sans" w:cs="Work Sans"/>
        </w:rPr>
      </w:pPr>
      <w:r w:rsidRPr="002972F1">
        <w:rPr>
          <w:rFonts w:ascii="Work Sans" w:eastAsia="Work Sans" w:hAnsi="Work Sans" w:cs="Work Sans"/>
        </w:rPr>
        <w:t>Este criterio ha sido reiterado en diversos pronunciamientos, entre ellos la Sentencia del Consejo de Estado, Sala de lo Contencioso Administrativo, Sección Tercera, del 21 de septiembre de 2000, Radicación No. 25000-23-26-000-1996-02483-01 (15.545). De acuerdo con este precedente, los errores de la administración no son oponibles al contratista. Cuando la entidad omite o incurre en fallas en la gestión presupuestaria como sucede, por ejemplo, al no generar oportunamente un RP— tiene la obligación de adoptar los correctivos necesarios para reconocer las actividades ejecutadas, siempre dentro del marco del principio de legalidad del gasto. La providencia enfatiza que el contratista no puede soportar las consecuencias de fallas administrativas notorias atribuibles a la entidad.</w:t>
      </w:r>
    </w:p>
    <w:p w14:paraId="49D09F40" w14:textId="77777777" w:rsidR="003E4002" w:rsidRPr="002972F1" w:rsidRDefault="003E4002" w:rsidP="003E4002">
      <w:pPr>
        <w:spacing w:before="280" w:after="280" w:line="360" w:lineRule="auto"/>
        <w:jc w:val="both"/>
        <w:rPr>
          <w:rFonts w:ascii="Work Sans" w:eastAsia="Work Sans" w:hAnsi="Work Sans" w:cs="Work Sans"/>
        </w:rPr>
      </w:pPr>
      <w:r w:rsidRPr="002972F1">
        <w:rPr>
          <w:rFonts w:ascii="Work Sans" w:eastAsia="Work Sans" w:hAnsi="Work Sans" w:cs="Work Sans"/>
        </w:rPr>
        <w:t>En atención a lo expuesto, resulta jurídicamente obligatorio reconocer y pagar al contratista la remuneración correspondiente a las actividades efectivamente ejecutadas, en tanto la administración no puede beneficiarse de la prestación de un servicio sin otorgar la contraprestación debida. Ello es especialmente relevante cuando la expedición tardía del Registro Presupuestal obedeció a un error administrativo involuntario, derivado exclusivamente de fallas internas de la entidad y ajeno por completo al contratista.</w:t>
      </w:r>
    </w:p>
    <w:p w14:paraId="637A38F5" w14:textId="77777777" w:rsidR="003E4002" w:rsidRPr="002972F1" w:rsidRDefault="003E4002" w:rsidP="003E4002">
      <w:pPr>
        <w:spacing w:before="280" w:after="280" w:line="480" w:lineRule="auto"/>
        <w:jc w:val="both"/>
        <w:rPr>
          <w:rFonts w:ascii="Work Sans" w:eastAsia="Work Sans" w:hAnsi="Work Sans" w:cs="Work Sans"/>
        </w:rPr>
      </w:pPr>
      <w:r w:rsidRPr="002972F1">
        <w:rPr>
          <w:rFonts w:ascii="Work Sans" w:eastAsia="Work Sans" w:hAnsi="Work Sans" w:cs="Work Sans"/>
        </w:rPr>
        <w:t>Debe resaltarse que no existe proceso alguno ante la Jurisdicción de lo Contencioso Administrativo que cuestione un eventual incumplimiento, ya sea por parte de la entidad o de la contratista.</w:t>
      </w:r>
    </w:p>
    <w:p w14:paraId="62E7FF9F" w14:textId="77777777" w:rsidR="003E4002" w:rsidRPr="002972F1" w:rsidRDefault="003E4002" w:rsidP="003E4002">
      <w:pPr>
        <w:spacing w:before="280" w:after="280" w:line="480" w:lineRule="auto"/>
        <w:jc w:val="both"/>
        <w:rPr>
          <w:rFonts w:ascii="Work Sans" w:eastAsia="Work Sans" w:hAnsi="Work Sans" w:cs="Work Sans"/>
        </w:rPr>
      </w:pPr>
      <w:r w:rsidRPr="002972F1">
        <w:rPr>
          <w:rFonts w:ascii="Work Sans" w:eastAsia="Work Sans" w:hAnsi="Work Sans" w:cs="Work Sans"/>
        </w:rPr>
        <w:t>En consecuencia, la entidad debe acudir a un acto administrativo de saneamiento, como mecanismo idóneo para evitar un conflicto jurídico innecesario y garantizar los derechos de la contratista, en aplicación del principio de buena fe objetiva y de la jurisprudencia que permite subsanar los errores administrativos cuando estos no afectan la validez del contrato.</w:t>
      </w:r>
    </w:p>
    <w:p w14:paraId="794650D3" w14:textId="77777777" w:rsidR="003E4002" w:rsidRPr="002972F1" w:rsidRDefault="003E4002" w:rsidP="003E4002">
      <w:pPr>
        <w:spacing w:before="280" w:after="280" w:line="480" w:lineRule="auto"/>
        <w:jc w:val="both"/>
        <w:rPr>
          <w:rFonts w:ascii="Work Sans" w:eastAsia="Work Sans" w:hAnsi="Work Sans" w:cs="Work Sans"/>
        </w:rPr>
      </w:pPr>
      <w:r w:rsidRPr="002972F1">
        <w:rPr>
          <w:rFonts w:ascii="Work Sans" w:eastAsia="Work Sans" w:hAnsi="Work Sans" w:cs="Work Sans"/>
        </w:rPr>
        <w:lastRenderedPageBreak/>
        <w:t>Lo anterior encuentra respaldo en el artículo 49 de la Ley 80 de 1993, disposición que faculta el saneamiento mediante acto motivado, los vicios de procedimiento o de forma que no constituyan causal de nulidad y cuando las necesidades del servicio o las reglas de la buena administración así lo exijan.</w:t>
      </w:r>
    </w:p>
    <w:p w14:paraId="1997953B" w14:textId="77777777" w:rsidR="003E4002" w:rsidRPr="002972F1" w:rsidRDefault="003E4002" w:rsidP="003E4002">
      <w:pPr>
        <w:spacing w:before="280" w:after="280" w:line="480" w:lineRule="auto"/>
        <w:jc w:val="both"/>
        <w:rPr>
          <w:rFonts w:ascii="Work Sans" w:eastAsia="Work Sans" w:hAnsi="Work Sans" w:cs="Work Sans"/>
        </w:rPr>
      </w:pPr>
      <w:r w:rsidRPr="002972F1">
        <w:rPr>
          <w:rFonts w:ascii="Work Sans" w:eastAsia="Work Sans" w:hAnsi="Work Sans" w:cs="Work Sans"/>
        </w:rPr>
        <w:t>En el presente caso, la expedición tardía del Registro Presupuestal, originada en un error involuntario, constituye un vicio de naturaleza procedimental plenamente susceptible de saneamiento, sin afectar la existencia, validez ni continuidad de la relación contractual.</w:t>
      </w:r>
    </w:p>
    <w:p w14:paraId="6744C588" w14:textId="77777777" w:rsidR="003E4002" w:rsidRPr="00D35E99" w:rsidRDefault="003E4002" w:rsidP="003E4002">
      <w:pPr>
        <w:spacing w:before="280" w:after="280" w:line="480" w:lineRule="auto"/>
        <w:jc w:val="both"/>
        <w:rPr>
          <w:rFonts w:ascii="Work Sans" w:eastAsia="Work Sans" w:hAnsi="Work Sans" w:cs="Work Sans"/>
        </w:rPr>
      </w:pPr>
      <w:r w:rsidRPr="00D35E99">
        <w:rPr>
          <w:rFonts w:ascii="Work Sans" w:eastAsia="Work Sans" w:hAnsi="Work Sans" w:cs="Work Sans"/>
        </w:rPr>
        <w:t>Bajo lo expuesto, y con el debido respeto, se solicita amablemente la expedición del acto administrativo de saneamiento mediante el cual se ordene el reconocimiento y pago de las actividades contractuales ejecutadas por la contratista, con cargo al RP No. 720325 del 21 de noviembre, por las labores desarrolladas desde el 16 de octubre de 2025.</w:t>
      </w:r>
    </w:p>
    <w:p w14:paraId="1F0C0EE5" w14:textId="77777777" w:rsidR="002757D9" w:rsidRDefault="002757D9" w:rsidP="00AF21D9">
      <w:pPr>
        <w:spacing w:line="240" w:lineRule="auto"/>
        <w:ind w:right="51"/>
        <w:contextualSpacing/>
        <w:jc w:val="both"/>
        <w:rPr>
          <w:rFonts w:ascii="Work Sans" w:hAnsi="Work Sans" w:cs="Arial"/>
          <w:sz w:val="24"/>
          <w:highlight w:val="yellow"/>
        </w:rPr>
      </w:pPr>
    </w:p>
    <w:p w14:paraId="425E25CF" w14:textId="77777777" w:rsidR="002757D9" w:rsidRDefault="002757D9" w:rsidP="00AF21D9">
      <w:pPr>
        <w:spacing w:line="240" w:lineRule="auto"/>
        <w:ind w:right="51"/>
        <w:contextualSpacing/>
        <w:jc w:val="both"/>
        <w:rPr>
          <w:rFonts w:ascii="Work Sans" w:hAnsi="Work Sans" w:cs="Arial"/>
          <w:sz w:val="24"/>
          <w:highlight w:val="yellow"/>
        </w:rPr>
      </w:pPr>
    </w:p>
    <w:p w14:paraId="32382521" w14:textId="18D4F97C" w:rsidR="002757D9" w:rsidRPr="0026480C" w:rsidRDefault="002757D9" w:rsidP="00AF21D9">
      <w:pPr>
        <w:spacing w:line="240" w:lineRule="auto"/>
        <w:ind w:right="51"/>
        <w:contextualSpacing/>
        <w:jc w:val="both"/>
        <w:rPr>
          <w:rFonts w:ascii="Work Sans" w:hAnsi="Work Sans" w:cs="Arial"/>
          <w:sz w:val="24"/>
        </w:rPr>
      </w:pPr>
      <w:r w:rsidRPr="0026480C">
        <w:rPr>
          <w:rFonts w:ascii="Work Sans" w:hAnsi="Work Sans" w:cs="Arial"/>
          <w:sz w:val="24"/>
        </w:rPr>
        <w:t>Cordialmente,</w:t>
      </w:r>
    </w:p>
    <w:p w14:paraId="22DD1EE3" w14:textId="77777777" w:rsidR="00AF21D9" w:rsidRDefault="00AF21D9" w:rsidP="00AF21D9">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6EF2CBBB" w14:textId="77777777" w:rsidTr="00452E77">
        <w:tc>
          <w:tcPr>
            <w:tcW w:w="8789" w:type="dxa"/>
            <w:gridSpan w:val="2"/>
            <w:shd w:val="clear" w:color="auto" w:fill="auto"/>
          </w:tcPr>
          <w:p w14:paraId="17F6B7B8" w14:textId="77777777" w:rsidR="00AF21D9" w:rsidRDefault="00AF21D9" w:rsidP="00452E77">
            <w:pPr>
              <w:spacing w:after="0"/>
              <w:rPr>
                <w:rFonts w:ascii="Work Sans" w:hAnsi="Work Sans"/>
                <w:sz w:val="24"/>
                <w:szCs w:val="24"/>
              </w:rPr>
            </w:pPr>
            <w:r w:rsidRPr="002B6778">
              <w:rPr>
                <w:rFonts w:ascii="Work Sans" w:hAnsi="Work Sans" w:cs="Arial"/>
                <w:sz w:val="24"/>
              </w:rPr>
              <w:t>Tabla_Firmantes</w:t>
            </w:r>
          </w:p>
        </w:tc>
      </w:tr>
      <w:tr w:rsidR="00AF21D9" w14:paraId="20FB7E56" w14:textId="77777777" w:rsidTr="00452E77">
        <w:tc>
          <w:tcPr>
            <w:tcW w:w="4380" w:type="dxa"/>
            <w:shd w:val="clear" w:color="auto" w:fill="auto"/>
          </w:tcPr>
          <w:p w14:paraId="737EC67B" w14:textId="77777777" w:rsidR="00AF21D9" w:rsidRDefault="00AF21D9" w:rsidP="00452E77">
            <w:pPr>
              <w:spacing w:after="0"/>
              <w:rPr>
                <w:rFonts w:ascii="Work Sans ExtraLight" w:hAnsi="Work Sans ExtraLight"/>
              </w:rPr>
            </w:pPr>
          </w:p>
        </w:tc>
        <w:tc>
          <w:tcPr>
            <w:tcW w:w="4409" w:type="dxa"/>
            <w:shd w:val="clear" w:color="auto" w:fill="auto"/>
          </w:tcPr>
          <w:p w14:paraId="61915F22" w14:textId="77777777" w:rsidR="00AF21D9" w:rsidRDefault="00AF21D9" w:rsidP="00452E77">
            <w:pPr>
              <w:spacing w:after="0"/>
              <w:rPr>
                <w:rFonts w:ascii="Work Sans ExtraLight" w:hAnsi="Work Sans ExtraLight"/>
              </w:rPr>
            </w:pPr>
          </w:p>
        </w:tc>
      </w:tr>
      <w:tr w:rsidR="00AF21D9" w14:paraId="6466065E" w14:textId="77777777" w:rsidTr="00452E77">
        <w:tc>
          <w:tcPr>
            <w:tcW w:w="4380" w:type="dxa"/>
            <w:shd w:val="clear" w:color="auto" w:fill="auto"/>
          </w:tcPr>
          <w:p w14:paraId="6B2A5AB1" w14:textId="77777777" w:rsidR="00AF21D9" w:rsidRDefault="00AF21D9" w:rsidP="00452E77">
            <w:pPr>
              <w:spacing w:after="0"/>
              <w:rPr>
                <w:rFonts w:ascii="Work Sans ExtraLight" w:hAnsi="Work Sans ExtraLight"/>
              </w:rPr>
            </w:pPr>
          </w:p>
        </w:tc>
        <w:tc>
          <w:tcPr>
            <w:tcW w:w="4409" w:type="dxa"/>
            <w:shd w:val="clear" w:color="auto" w:fill="auto"/>
          </w:tcPr>
          <w:p w14:paraId="52E63402" w14:textId="77777777" w:rsidR="00AF21D9" w:rsidRDefault="00AF21D9" w:rsidP="00452E77">
            <w:pPr>
              <w:spacing w:after="0"/>
              <w:rPr>
                <w:rFonts w:ascii="Work Sans ExtraLight" w:hAnsi="Work Sans ExtraLight"/>
              </w:rPr>
            </w:pPr>
          </w:p>
        </w:tc>
      </w:tr>
    </w:tbl>
    <w:p w14:paraId="390F3597" w14:textId="77777777" w:rsidR="00AF21D9" w:rsidRDefault="00AF21D9" w:rsidP="00AF21D9">
      <w:pPr>
        <w:spacing w:after="0"/>
        <w:rPr>
          <w:rFonts w:ascii="Work Sans" w:hAnsi="Work Sans"/>
          <w:sz w:val="16"/>
          <w:szCs w:val="16"/>
        </w:rPr>
      </w:pPr>
      <w:r>
        <w:rPr>
          <w:rFonts w:ascii="Work Sans" w:hAnsi="Work Sans"/>
          <w:sz w:val="16"/>
          <w:szCs w:val="16"/>
        </w:rPr>
        <w:t>ley_texto</w:t>
      </w:r>
    </w:p>
    <w:p w14:paraId="1787BBD9" w14:textId="77777777" w:rsidR="00AF21D9" w:rsidRDefault="00AF21D9" w:rsidP="00AF21D9">
      <w:pPr>
        <w:spacing w:after="0"/>
        <w:rPr>
          <w:rFonts w:ascii="Work Sans" w:eastAsia="Times New Roman" w:hAnsi="Work Sans" w:cs="Times New Roman"/>
          <w:spacing w:val="-3"/>
          <w:sz w:val="16"/>
          <w:szCs w:val="16"/>
          <w:lang w:val="es-ES_tradnl" w:eastAsia="es-ES"/>
        </w:rPr>
      </w:pPr>
      <w:proofErr w:type="spellStart"/>
      <w:r>
        <w:rPr>
          <w:rFonts w:ascii="Work Sans" w:eastAsia="Times New Roman" w:hAnsi="Work Sans" w:cs="Times New Roman"/>
          <w:spacing w:val="-3"/>
          <w:sz w:val="16"/>
          <w:szCs w:val="16"/>
          <w:lang w:val="es-ES_tradnl" w:eastAsia="es-ES"/>
        </w:rPr>
        <w:t>rad_padre</w:t>
      </w:r>
      <w:proofErr w:type="spellEnd"/>
    </w:p>
    <w:p w14:paraId="4D3E2D14" w14:textId="77777777" w:rsidR="00AF21D9" w:rsidRDefault="00AF21D9" w:rsidP="00AF21D9">
      <w:pPr>
        <w:spacing w:after="0"/>
        <w:rPr>
          <w:rFonts w:ascii="Work Sans" w:hAnsi="Work Sans"/>
          <w:sz w:val="16"/>
          <w:szCs w:val="16"/>
        </w:rPr>
      </w:pPr>
      <w:r>
        <w:rPr>
          <w:rFonts w:ascii="Work Sans" w:hAnsi="Work Sans"/>
          <w:sz w:val="16"/>
          <w:szCs w:val="16"/>
        </w:rPr>
        <w:t>anexo_r</w:t>
      </w:r>
    </w:p>
    <w:p w14:paraId="65542969" w14:textId="77777777" w:rsidR="00AF21D9" w:rsidRDefault="00AF21D9" w:rsidP="00AF21D9">
      <w:pPr>
        <w:spacing w:after="0"/>
        <w:rPr>
          <w:rFonts w:ascii="Work Sans" w:hAnsi="Work Sans"/>
          <w:sz w:val="16"/>
          <w:szCs w:val="16"/>
        </w:rPr>
      </w:pPr>
      <w:r>
        <w:rPr>
          <w:rFonts w:ascii="Work Sans" w:hAnsi="Work Sans"/>
          <w:sz w:val="16"/>
          <w:szCs w:val="16"/>
        </w:rPr>
        <w:t xml:space="preserve">copias_r </w:t>
      </w:r>
    </w:p>
    <w:p w14:paraId="551E62EE" w14:textId="68C5967B" w:rsidR="00C04679" w:rsidRPr="00AF21D9" w:rsidRDefault="00AF21D9" w:rsidP="00AF21D9">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Reviso: res_reviso</w:t>
      </w:r>
      <w:r>
        <w:rPr>
          <w:rFonts w:ascii="Work Sans" w:hAnsi="Work Sans"/>
          <w:sz w:val="16"/>
          <w:szCs w:val="16"/>
        </w:rPr>
        <w:br/>
        <w:t>Aprobó: res_aprobacion</w:t>
      </w:r>
    </w:p>
    <w:sectPr w:rsidR="00C04679" w:rsidRPr="00AF21D9" w:rsidSect="0023586F">
      <w:headerReference w:type="default" r:id="rId7"/>
      <w:footerReference w:type="default" r:id="rId8"/>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4A2F9" w14:textId="77777777" w:rsidR="008A219F" w:rsidRDefault="008A219F">
      <w:pPr>
        <w:spacing w:after="0" w:line="240" w:lineRule="auto"/>
      </w:pPr>
      <w:r>
        <w:separator/>
      </w:r>
    </w:p>
  </w:endnote>
  <w:endnote w:type="continuationSeparator" w:id="0">
    <w:p w14:paraId="354FA62E" w14:textId="77777777" w:rsidR="008A219F" w:rsidRDefault="008A2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ork Sans">
    <w:altName w:val="Calibri"/>
    <w:panose1 w:val="020B0604020202020204"/>
    <w:charset w:val="00"/>
    <w:family w:val="auto"/>
    <w:pitch w:val="variable"/>
    <w:sig w:usb0="A00000FF" w:usb1="5000E07B" w:usb2="00000000" w:usb3="00000000" w:csb0="00000193" w:csb1="00000000"/>
  </w:font>
  <w:font w:name="Noto Sans Symbols">
    <w:altName w:val="Calibri"/>
    <w:panose1 w:val="020B0502040504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Yu Gothic"/>
    <w:panose1 w:val="020B0504020202020204"/>
    <w:charset w:val="00"/>
    <w:family w:val="roman"/>
    <w:notTrueType/>
    <w:pitch w:val="default"/>
  </w:font>
  <w:font w:name="Work Sans ExtraLight">
    <w:altName w:val="Times New Roman"/>
    <w:panose1 w:val="020B0604020202020204"/>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panose1 w:val="020B0604020202020204"/>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51EBA" w14:textId="77777777" w:rsidR="008A219F" w:rsidRDefault="008A219F">
      <w:pPr>
        <w:spacing w:after="0" w:line="240" w:lineRule="auto"/>
      </w:pPr>
      <w:r>
        <w:separator/>
      </w:r>
    </w:p>
  </w:footnote>
  <w:footnote w:type="continuationSeparator" w:id="0">
    <w:p w14:paraId="44B84C91" w14:textId="77777777" w:rsidR="008A219F" w:rsidRDefault="008A219F">
      <w:pPr>
        <w:spacing w:after="0" w:line="240" w:lineRule="auto"/>
      </w:pPr>
      <w:r>
        <w:continuationSeparator/>
      </w:r>
    </w:p>
  </w:footnote>
  <w:footnote w:id="1">
    <w:p w14:paraId="545AEF16" w14:textId="77777777" w:rsidR="003E4002" w:rsidRDefault="003E4002" w:rsidP="003E4002">
      <w:pPr>
        <w:pBdr>
          <w:top w:val="nil"/>
          <w:left w:val="nil"/>
          <w:bottom w:val="nil"/>
          <w:right w:val="nil"/>
          <w:between w:val="nil"/>
        </w:pBdr>
        <w:jc w:val="both"/>
        <w:rPr>
          <w:color w:val="000000"/>
          <w:sz w:val="16"/>
          <w:szCs w:val="16"/>
        </w:rPr>
      </w:pPr>
      <w:r>
        <w:rPr>
          <w:vertAlign w:val="superscript"/>
        </w:rPr>
        <w:footnoteRef/>
      </w:r>
      <w:r>
        <w:rPr>
          <w:color w:val="000000"/>
        </w:rPr>
        <w:t xml:space="preserve"> </w:t>
      </w:r>
      <w:r>
        <w:rPr>
          <w:b/>
          <w:bCs/>
          <w:color w:val="000000"/>
          <w:sz w:val="16"/>
          <w:szCs w:val="16"/>
        </w:rPr>
        <w:t>Consejo de Estado, Sección Tercera, Rad. 05001-23-31-000-2000-10140-01, Sentencia del 28 de septiembre de 2006.</w:t>
      </w:r>
      <w:r>
        <w:rPr>
          <w:color w:val="000000"/>
          <w:sz w:val="16"/>
          <w:szCs w:val="16"/>
        </w:rPr>
        <w:br/>
        <w:t>La Sala afirmó que el registro presupuestal no constituye un requisito de perfeccionamiento del contrato estatal, sino un presupuesto para su ejecución. Señaló que el contrato es perfecto cuando existe acuerdo sobre el objeto y la contraprestación y se eleva a escrito, independientemente de formalidades posteriores como el RP.</w:t>
      </w:r>
    </w:p>
    <w:p w14:paraId="3F93026C" w14:textId="77777777" w:rsidR="003E4002" w:rsidRDefault="003E4002" w:rsidP="003E4002">
      <w:pPr>
        <w:jc w:val="both"/>
        <w:rPr>
          <w:sz w:val="16"/>
          <w:szCs w:val="16"/>
        </w:rPr>
      </w:pPr>
      <w:r>
        <w:rPr>
          <w:sz w:val="16"/>
          <w:szCs w:val="16"/>
        </w:rPr>
        <w:t xml:space="preserve">² </w:t>
      </w:r>
      <w:r>
        <w:rPr>
          <w:b/>
          <w:bCs/>
          <w:sz w:val="16"/>
          <w:szCs w:val="16"/>
        </w:rPr>
        <w:t>Consejo de Estado, Sección Tercera, Rad. 05001-23-31-000-1998-01350-01, Sentencia del 23 de junio de 2010.</w:t>
      </w:r>
      <w:r>
        <w:rPr>
          <w:sz w:val="16"/>
          <w:szCs w:val="16"/>
        </w:rPr>
        <w:br/>
        <w:t>En esta decisión, la Corporación reiteró que el registro presupuestal es una condición para la ejecución del contrato, no para su existencia o perfeccionamiento. El contrato se entiende perfeccionado al cumplirse los elementos esenciales establecidos por la Ley 80 de 1993.</w:t>
      </w:r>
    </w:p>
    <w:p w14:paraId="05D0C480" w14:textId="77777777" w:rsidR="003E4002" w:rsidRDefault="003E4002" w:rsidP="003E4002">
      <w:pPr>
        <w:jc w:val="both"/>
        <w:rPr>
          <w:sz w:val="16"/>
          <w:szCs w:val="16"/>
        </w:rPr>
      </w:pPr>
      <w:r>
        <w:rPr>
          <w:sz w:val="16"/>
          <w:szCs w:val="16"/>
        </w:rPr>
        <w:t>Consejo</w:t>
      </w:r>
      <w:r>
        <w:rPr>
          <w:b/>
          <w:bCs/>
          <w:sz w:val="16"/>
          <w:szCs w:val="16"/>
        </w:rPr>
        <w:t xml:space="preserve"> de Estado, Sección Tercera, Rad. 05001-23-31-000-1998-01350-01, Sentencia del 22 de abril de 2009.</w:t>
      </w:r>
      <w:r>
        <w:rPr>
          <w:sz w:val="16"/>
          <w:szCs w:val="16"/>
        </w:rPr>
        <w:br/>
        <w:t>La Sala reafirmó que el registro presupuestal no es un requisito de existencia ni de perfeccionamiento del contrato estatal. Su omisión o expedición tardía afecta la ejecución, mas no la validez del contrato, reafirmando así la separación conceptual entre perfeccionamiento y ejecución.</w:t>
      </w:r>
    </w:p>
    <w:p w14:paraId="350F1F1E" w14:textId="77777777" w:rsidR="003E4002" w:rsidRDefault="003E4002" w:rsidP="003E4002">
      <w:pPr>
        <w:pBdr>
          <w:top w:val="nil"/>
          <w:left w:val="nil"/>
          <w:bottom w:val="nil"/>
          <w:right w:val="nil"/>
          <w:between w:val="nil"/>
        </w:pBdr>
        <w:jc w:val="both"/>
        <w:rPr>
          <w:color w:val="000000"/>
          <w:sz w:val="16"/>
          <w:szCs w:val="16"/>
        </w:rPr>
      </w:pPr>
      <w:r>
        <w:rPr>
          <w:sz w:val="16"/>
          <w:szCs w:val="16"/>
        </w:rPr>
        <w:t>, Consejo</w:t>
      </w:r>
      <w:r>
        <w:rPr>
          <w:b/>
          <w:bCs/>
          <w:color w:val="000000"/>
          <w:sz w:val="16"/>
          <w:szCs w:val="16"/>
        </w:rPr>
        <w:t xml:space="preserve"> de Estado, Sección Tercera, Rad. 25000-23-26-000-2003-01686-01, Sentencia del 22 de abril de 2009.</w:t>
      </w:r>
      <w:r>
        <w:rPr>
          <w:color w:val="000000"/>
          <w:sz w:val="16"/>
          <w:szCs w:val="16"/>
        </w:rPr>
        <w:br/>
        <w:t>La Corporación precisó que la reforma introducida por la Ley 1150 de 2007 confirmó que el registro presupuestal es un requisito exclusivo para la ejecución del contrato estatal, en armonía con el artículo 41 de la Ley 80 de 1993.</w:t>
      </w:r>
    </w:p>
    <w:p w14:paraId="202999B7" w14:textId="77777777" w:rsidR="003E4002" w:rsidRDefault="003E4002" w:rsidP="003E4002">
      <w:p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b/>
          <w:bCs/>
          <w:color w:val="000000"/>
          <w:sz w:val="16"/>
          <w:szCs w:val="16"/>
        </w:rPr>
        <w:t>⁵ Consejo de Estado, Sección Tercera, Rad. 05001-23-31-000-2009-01256-01, Sentencia del 28 de septiembre de 2006.</w:t>
      </w:r>
      <w:r>
        <w:rPr>
          <w:rFonts w:ascii="Arial" w:eastAsia="Arial" w:hAnsi="Arial" w:cs="Arial"/>
          <w:b/>
          <w:bCs/>
          <w:color w:val="000000"/>
          <w:sz w:val="16"/>
          <w:szCs w:val="16"/>
        </w:rPr>
        <w:br/>
      </w:r>
      <w:r>
        <w:rPr>
          <w:rFonts w:ascii="Arial" w:eastAsia="Arial" w:hAnsi="Arial" w:cs="Arial"/>
          <w:color w:val="000000"/>
          <w:sz w:val="16"/>
          <w:szCs w:val="16"/>
        </w:rPr>
        <w:t>La Sala reiteró que el registro presupuestal constituye una formalidad de ejecución y no de perfeccionamiento del contrato, el cual se entiende perfeccionado al cumplir las exigencias previstas en la Ley 80 de 1993.</w:t>
      </w:r>
    </w:p>
    <w:p w14:paraId="76FAD6D2" w14:textId="77777777" w:rsidR="003E4002" w:rsidRDefault="003E4002" w:rsidP="003E4002">
      <w:pPr>
        <w:pBdr>
          <w:top w:val="nil"/>
          <w:left w:val="nil"/>
          <w:bottom w:val="nil"/>
          <w:right w:val="nil"/>
          <w:between w:val="nil"/>
        </w:pBdr>
        <w:jc w:val="both"/>
        <w:rPr>
          <w:rFonts w:ascii="Arial" w:eastAsia="Arial" w:hAnsi="Arial" w:cs="Arial"/>
          <w:color w:val="000000"/>
          <w:sz w:val="16"/>
          <w:szCs w:val="16"/>
        </w:rPr>
      </w:pPr>
    </w:p>
  </w:footnote>
  <w:footnote w:id="2">
    <w:p w14:paraId="10103239" w14:textId="77777777" w:rsidR="003E4002" w:rsidRDefault="003E4002" w:rsidP="003E4002">
      <w:pPr>
        <w:jc w:val="both"/>
        <w:rPr>
          <w:rFonts w:ascii="Arial" w:eastAsia="Arial" w:hAnsi="Arial" w:cs="Arial"/>
          <w:sz w:val="16"/>
          <w:szCs w:val="16"/>
        </w:rPr>
      </w:pPr>
      <w:r>
        <w:rPr>
          <w:vertAlign w:val="superscript"/>
        </w:rPr>
        <w:footnoteRef/>
      </w:r>
      <w:r>
        <w:rPr>
          <w:rFonts w:ascii="Arial" w:eastAsia="Arial" w:hAnsi="Arial" w:cs="Arial"/>
          <w:sz w:val="16"/>
          <w:szCs w:val="16"/>
        </w:rPr>
        <w:t xml:space="preserve"> </w:t>
      </w:r>
      <w:r>
        <w:rPr>
          <w:rFonts w:ascii="Arial" w:eastAsia="Arial" w:hAnsi="Arial" w:cs="Arial"/>
          <w:sz w:val="16"/>
          <w:szCs w:val="16"/>
        </w:rPr>
        <w:t>Safar, M. (2020). El papel del registro presupuestal en los contratos estatales. En J. L. Benavides (Ed.), Fallos referentes en contratación estatal. Universidad Externado de Colombia</w:t>
      </w:r>
    </w:p>
    <w:p w14:paraId="586378F7" w14:textId="77777777" w:rsidR="003E4002" w:rsidRDefault="003E4002" w:rsidP="003E4002">
      <w:pPr>
        <w:pBdr>
          <w:top w:val="nil"/>
          <w:left w:val="nil"/>
          <w:bottom w:val="nil"/>
          <w:right w:val="nil"/>
          <w:between w:val="nil"/>
        </w:pBdr>
        <w:rPr>
          <w:color w:val="000000"/>
          <w:sz w:val="20"/>
          <w:szCs w:val="20"/>
        </w:rPr>
      </w:pPr>
    </w:p>
  </w:footnote>
  <w:footnote w:id="3">
    <w:p w14:paraId="7B2487C6" w14:textId="77777777" w:rsidR="003E4002" w:rsidRDefault="003E4002" w:rsidP="003E4002">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color w:val="000000"/>
          <w:sz w:val="20"/>
          <w:szCs w:val="20"/>
        </w:rPr>
        <w:t>Consejo de Estado, Sala de lo Contencioso Administrativo, Sección Tercera, Subsección B, Exp. 11001-03-26-000-2010-00062-00 (39495)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712433"/>
      <w:docPartObj>
        <w:docPartGallery w:val="Page Numbers (Top of Page)"/>
        <w:docPartUnique/>
      </w:docPartObj>
    </w:sdtPr>
    <w:sdtEndPr/>
    <w:sdtContent>
      <w:p w14:paraId="6D49CADF" w14:textId="299BF8CF" w:rsidR="00D33464" w:rsidRDefault="00183F06">
        <w:pPr>
          <w:pStyle w:val="Encabezado"/>
          <w:jc w:val="right"/>
        </w:pPr>
        <w:r>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341EA05A"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77777777" w:rsidR="00C04679"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E342F"/>
    <w:multiLevelType w:val="multilevel"/>
    <w:tmpl w:val="358C8A5C"/>
    <w:lvl w:ilvl="0">
      <w:start w:val="1"/>
      <w:numFmt w:val="decimal"/>
      <w:lvlText w:val="%1."/>
      <w:lvlJc w:val="left"/>
      <w:pPr>
        <w:ind w:left="720" w:hanging="360"/>
      </w:pPr>
      <w:rPr>
        <w:rFonts w:ascii="Work Sans" w:eastAsia="Work Sans" w:hAnsi="Work Sans" w:cs="Work Sans"/>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A2D74CA"/>
    <w:multiLevelType w:val="multilevel"/>
    <w:tmpl w:val="8D52F7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5D537B44"/>
    <w:multiLevelType w:val="multilevel"/>
    <w:tmpl w:val="696E0AF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418C8"/>
    <w:rsid w:val="00046D1C"/>
    <w:rsid w:val="000E59F0"/>
    <w:rsid w:val="001358EB"/>
    <w:rsid w:val="00183F06"/>
    <w:rsid w:val="00202A17"/>
    <w:rsid w:val="0023586F"/>
    <w:rsid w:val="0026480C"/>
    <w:rsid w:val="002757D9"/>
    <w:rsid w:val="002B6778"/>
    <w:rsid w:val="002E601B"/>
    <w:rsid w:val="003C6CA7"/>
    <w:rsid w:val="003D64EF"/>
    <w:rsid w:val="003E4002"/>
    <w:rsid w:val="00454A6E"/>
    <w:rsid w:val="00485628"/>
    <w:rsid w:val="004E340F"/>
    <w:rsid w:val="005061BF"/>
    <w:rsid w:val="005A358A"/>
    <w:rsid w:val="005A7424"/>
    <w:rsid w:val="00713CBD"/>
    <w:rsid w:val="007560EA"/>
    <w:rsid w:val="008017F8"/>
    <w:rsid w:val="00814311"/>
    <w:rsid w:val="00865C91"/>
    <w:rsid w:val="008A219F"/>
    <w:rsid w:val="009B5409"/>
    <w:rsid w:val="009E5228"/>
    <w:rsid w:val="00A32F93"/>
    <w:rsid w:val="00A82C6D"/>
    <w:rsid w:val="00AA1D97"/>
    <w:rsid w:val="00AC4E5E"/>
    <w:rsid w:val="00AD43C1"/>
    <w:rsid w:val="00AE1879"/>
    <w:rsid w:val="00AF21D9"/>
    <w:rsid w:val="00B12ABD"/>
    <w:rsid w:val="00BC7B64"/>
    <w:rsid w:val="00C04679"/>
    <w:rsid w:val="00D33464"/>
    <w:rsid w:val="00D95FE5"/>
    <w:rsid w:val="00E113E2"/>
    <w:rsid w:val="00F758D2"/>
    <w:rsid w:val="00FF0DA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Prrafodelista">
    <w:name w:val="List Paragraph"/>
    <w:basedOn w:val="Normal"/>
    <w:uiPriority w:val="34"/>
    <w:qFormat/>
    <w:rsid w:val="003E4002"/>
    <w:pPr>
      <w:suppressAutoHyphens w:val="0"/>
      <w:spacing w:after="0" w:line="240" w:lineRule="auto"/>
      <w:ind w:left="720"/>
      <w:contextualSpacing/>
    </w:pPr>
    <w:rPr>
      <w:rFonts w:ascii="Times New Roman" w:eastAsia="Times New Roman" w:hAnsi="Times New Roman" w:cs="Times New Roman"/>
      <w:sz w:val="24"/>
      <w:szCs w:val="24"/>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20</Pages>
  <Words>4246</Words>
  <Characters>23357</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27548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Michelle Roncancio</cp:lastModifiedBy>
  <cp:revision>12</cp:revision>
  <dcterms:created xsi:type="dcterms:W3CDTF">2023-05-19T18:23:00Z</dcterms:created>
  <dcterms:modified xsi:type="dcterms:W3CDTF">2025-12-15T15:25:00Z</dcterms:modified>
  <dc:language>es-CO</dc:language>
</cp:coreProperties>
</file>